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91EF62" w14:textId="77777777" w:rsidR="003F092E" w:rsidRDefault="00C477F5">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Ministry of Finance</w:t>
      </w:r>
    </w:p>
    <w:p w14:paraId="4F996030" w14:textId="77777777" w:rsidR="003F092E" w:rsidRDefault="00C477F5">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Expert consultant to develop institutionalization plan for Gargaara (Somali Apex MSME Financing Facility)</w:t>
      </w:r>
    </w:p>
    <w:p w14:paraId="4A0BE642" w14:textId="77777777" w:rsidR="003F092E" w:rsidRDefault="003F092E">
      <w:pPr>
        <w:jc w:val="center"/>
        <w:rPr>
          <w:rFonts w:ascii="Times New Roman" w:eastAsia="Times New Roman" w:hAnsi="Times New Roman" w:cs="Times New Roman"/>
          <w:b/>
          <w:sz w:val="22"/>
          <w:szCs w:val="22"/>
        </w:rPr>
      </w:pPr>
    </w:p>
    <w:p w14:paraId="458D3D21" w14:textId="77777777" w:rsidR="003F092E" w:rsidRDefault="00C477F5">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Terms of Reference (</w:t>
      </w:r>
      <w:proofErr w:type="spellStart"/>
      <w:r>
        <w:rPr>
          <w:rFonts w:ascii="Times New Roman" w:eastAsia="Times New Roman" w:hAnsi="Times New Roman" w:cs="Times New Roman"/>
          <w:b/>
          <w:sz w:val="22"/>
          <w:szCs w:val="22"/>
        </w:rPr>
        <w:t>ToR</w:t>
      </w:r>
      <w:proofErr w:type="spellEnd"/>
      <w:r>
        <w:rPr>
          <w:rFonts w:ascii="Times New Roman" w:eastAsia="Times New Roman" w:hAnsi="Times New Roman" w:cs="Times New Roman"/>
          <w:b/>
          <w:sz w:val="22"/>
          <w:szCs w:val="22"/>
        </w:rPr>
        <w:t>)</w:t>
      </w:r>
    </w:p>
    <w:p w14:paraId="566EFBF2" w14:textId="77777777" w:rsidR="003F092E" w:rsidRDefault="003F092E">
      <w:pPr>
        <w:rPr>
          <w:rFonts w:ascii="Times New Roman" w:eastAsia="Times New Roman" w:hAnsi="Times New Roman" w:cs="Times New Roman"/>
          <w:b/>
          <w:sz w:val="22"/>
          <w:szCs w:val="22"/>
        </w:rPr>
      </w:pPr>
    </w:p>
    <w:p w14:paraId="7AC44E66" w14:textId="77777777" w:rsidR="003F092E" w:rsidRDefault="00C477F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BACKGROUND</w:t>
      </w:r>
    </w:p>
    <w:p w14:paraId="580096F0" w14:textId="77777777" w:rsidR="003F092E" w:rsidRDefault="003F092E">
      <w:pPr>
        <w:pStyle w:val="Default"/>
        <w:jc w:val="both"/>
        <w:rPr>
          <w:rFonts w:ascii="Times New Roman" w:eastAsia="Times New Roman" w:hAnsi="Times New Roman" w:cs="Times New Roman"/>
          <w:color w:val="auto"/>
          <w:sz w:val="22"/>
          <w:szCs w:val="22"/>
        </w:rPr>
      </w:pPr>
    </w:p>
    <w:p w14:paraId="29AB6701" w14:textId="77777777" w:rsidR="003F092E" w:rsidRDefault="00C477F5">
      <w:pPr>
        <w:pStyle w:val="BodyText"/>
        <w:spacing w:line="249" w:lineRule="auto"/>
        <w:jc w:val="both"/>
        <w:rPr>
          <w:sz w:val="22"/>
          <w:szCs w:val="22"/>
        </w:rPr>
      </w:pPr>
      <w:r>
        <w:rPr>
          <w:sz w:val="22"/>
          <w:szCs w:val="22"/>
        </w:rPr>
        <w:t xml:space="preserve">The Federal Government of Somalia has received financing from the World Bank (WB) to implement the Somalia Capacity Enhancement, Livelihoods, and Entrepreneurship Initiative through the Digital Uplift Program (SCALED-UP). The biggest component of SCALED-UP, accounting for 40 percent of its total allocated funds, aims to increase access to finance for Somali Micro, Small, and Medium Enterprises (MSMEs) by setting-up Gargaara as the first Somali apex MSME Financing Facility. Gargaara was established and operationalized in 2019, and since then, Gargaara has become a significant player in the Somali financial sector, partnering with seven commercial banks and one MFI that on-lend its financing. To date these participating financial institutions (PFIs) have accessed and on-lent US$ 12.5 million to 276 MSMEs in the agriculture, energy, fishery, and livestock sectors. Given this track record mobilizing financing for MSMEs in Somalia, Gargaara was also able to sign a US$19 million partnership with Germany’s </w:t>
      </w:r>
      <w:proofErr w:type="spellStart"/>
      <w:r>
        <w:rPr>
          <w:sz w:val="22"/>
          <w:szCs w:val="22"/>
        </w:rPr>
        <w:t>Kreditanstalt</w:t>
      </w:r>
      <w:proofErr w:type="spellEnd"/>
      <w:r>
        <w:rPr>
          <w:sz w:val="22"/>
          <w:szCs w:val="22"/>
        </w:rPr>
        <w:t xml:space="preserve"> für </w:t>
      </w:r>
      <w:proofErr w:type="spellStart"/>
      <w:r>
        <w:rPr>
          <w:sz w:val="22"/>
          <w:szCs w:val="22"/>
        </w:rPr>
        <w:t>Wiederaufbau</w:t>
      </w:r>
      <w:proofErr w:type="spellEnd"/>
      <w:r>
        <w:rPr>
          <w:sz w:val="22"/>
          <w:szCs w:val="22"/>
        </w:rPr>
        <w:t xml:space="preserve"> (</w:t>
      </w:r>
      <w:proofErr w:type="spellStart"/>
      <w:r>
        <w:rPr>
          <w:sz w:val="22"/>
          <w:szCs w:val="22"/>
        </w:rPr>
        <w:t>KfW</w:t>
      </w:r>
      <w:proofErr w:type="spellEnd"/>
      <w:r>
        <w:rPr>
          <w:sz w:val="22"/>
          <w:szCs w:val="22"/>
        </w:rPr>
        <w:t>) in April 2023.</w:t>
      </w:r>
    </w:p>
    <w:p w14:paraId="2F9B67D5" w14:textId="77777777" w:rsidR="003F092E" w:rsidRDefault="003F092E">
      <w:pPr>
        <w:pStyle w:val="Default"/>
        <w:jc w:val="both"/>
        <w:rPr>
          <w:rFonts w:ascii="Times New Roman" w:eastAsia="Times New Roman" w:hAnsi="Times New Roman" w:cs="Times New Roman"/>
          <w:color w:val="auto"/>
          <w:sz w:val="22"/>
          <w:szCs w:val="22"/>
        </w:rPr>
      </w:pPr>
    </w:p>
    <w:p w14:paraId="77EB2161" w14:textId="77777777" w:rsidR="003F092E" w:rsidRDefault="00C477F5">
      <w:pPr>
        <w:pStyle w:val="Default"/>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However, a series of issues related to the sustainability of Gargaara still need to be addressed. SCALED-UP design anticipated the newly established MSME financing facility to be a freestanding autonomous apex institution with its own record of accomplishment, board of directors, and management. Furthermore, while the entity was to be initially publicly funded using IDA financing it was structured to operate through private sector management and governance principles, and to allow a transition toward private sector majority shareholding over time. The project design also envisioned a capitalization of the entity. Currently, the Ministry of Finance (MoF) is financing Gargaara’s operations through SCALED-UP, and steps to achieve its full institutionalization as an independent entity have not been completed. Meanwhile, gaps remain in the country’s current regulatory framework for the supervision of an apex financial institution. In this context, given its oversight and regulatory role over Gargaara, the MoF is seeking to hire an expert consultant to help address these issues.</w:t>
      </w:r>
    </w:p>
    <w:p w14:paraId="126C7FA0" w14:textId="77777777" w:rsidR="003F092E" w:rsidRDefault="003F092E">
      <w:pPr>
        <w:pStyle w:val="Default"/>
        <w:jc w:val="both"/>
        <w:rPr>
          <w:rFonts w:ascii="Times New Roman" w:hAnsi="Times New Roman" w:cs="Times New Roman"/>
          <w:sz w:val="23"/>
          <w:szCs w:val="23"/>
          <w:highlight w:val="yellow"/>
        </w:rPr>
      </w:pPr>
    </w:p>
    <w:p w14:paraId="6768DA7D" w14:textId="77777777" w:rsidR="003F092E" w:rsidRDefault="00C477F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OBJECTIVES OF THE ASSIGNMENT</w:t>
      </w:r>
    </w:p>
    <w:p w14:paraId="3C92E48C" w14:textId="77777777" w:rsidR="003F092E" w:rsidRDefault="003F092E">
      <w:pPr>
        <w:jc w:val="both"/>
        <w:rPr>
          <w:rFonts w:ascii="Times New Roman" w:eastAsia="Times New Roman" w:hAnsi="Times New Roman" w:cs="Times New Roman"/>
          <w:b/>
          <w:sz w:val="22"/>
          <w:szCs w:val="22"/>
        </w:rPr>
      </w:pPr>
    </w:p>
    <w:p w14:paraId="6A56A15A" w14:textId="16723DCE" w:rsidR="003F092E" w:rsidRPr="00DB753F" w:rsidRDefault="00C477F5">
      <w:pPr>
        <w:spacing w:after="60" w:line="259" w:lineRule="auto"/>
        <w:jc w:val="both"/>
        <w:rPr>
          <w:rFonts w:ascii="Times New Roman" w:eastAsia="Times New Roman" w:hAnsi="Times New Roman" w:cs="Times New Roman"/>
          <w:sz w:val="22"/>
          <w:szCs w:val="22"/>
        </w:rPr>
      </w:pPr>
      <w:r w:rsidRPr="0090074F">
        <w:rPr>
          <w:rFonts w:ascii="Times New Roman" w:eastAsia="Times New Roman" w:hAnsi="Times New Roman" w:cs="Times New Roman"/>
          <w:sz w:val="22"/>
          <w:szCs w:val="22"/>
        </w:rPr>
        <w:t>The consultant will advise MoF</w:t>
      </w:r>
      <w:r w:rsidR="00DB753F" w:rsidRPr="0090074F">
        <w:rPr>
          <w:rFonts w:ascii="Times New Roman" w:eastAsia="Times New Roman" w:hAnsi="Times New Roman" w:cs="Times New Roman"/>
          <w:sz w:val="22"/>
          <w:szCs w:val="22"/>
        </w:rPr>
        <w:t xml:space="preserve"> with the following </w:t>
      </w:r>
      <w:r w:rsidRPr="00DB753F">
        <w:rPr>
          <w:rFonts w:ascii="Times New Roman" w:eastAsia="Times New Roman" w:hAnsi="Times New Roman" w:cs="Times New Roman"/>
          <w:sz w:val="22"/>
          <w:szCs w:val="22"/>
        </w:rPr>
        <w:t>areas that must be worked</w:t>
      </w:r>
      <w:r w:rsidR="0065664A">
        <w:rPr>
          <w:rFonts w:ascii="Times New Roman" w:eastAsia="Times New Roman" w:hAnsi="Times New Roman" w:cs="Times New Roman"/>
          <w:sz w:val="22"/>
          <w:szCs w:val="22"/>
        </w:rPr>
        <w:t xml:space="preserve"> on</w:t>
      </w:r>
      <w:r w:rsidRPr="00DB753F">
        <w:rPr>
          <w:rFonts w:ascii="Times New Roman" w:eastAsia="Times New Roman" w:hAnsi="Times New Roman" w:cs="Times New Roman"/>
          <w:sz w:val="22"/>
          <w:szCs w:val="22"/>
        </w:rPr>
        <w:t xml:space="preserve"> in parallel:</w:t>
      </w:r>
    </w:p>
    <w:p w14:paraId="7CED2F99" w14:textId="77777777" w:rsidR="00DB753F" w:rsidRDefault="00DB753F" w:rsidP="0090074F"/>
    <w:p w14:paraId="0FD792EB" w14:textId="4282DE72" w:rsidR="0065664A" w:rsidRPr="0090074F" w:rsidRDefault="00DB753F" w:rsidP="0065664A">
      <w:pPr>
        <w:pStyle w:val="ListParagraph"/>
        <w:numPr>
          <w:ilvl w:val="0"/>
          <w:numId w:val="4"/>
        </w:numPr>
        <w:spacing w:after="60" w:line="259" w:lineRule="auto"/>
        <w:ind w:left="360"/>
        <w:jc w:val="both"/>
        <w:rPr>
          <w:rFonts w:ascii="Times New Roman" w:hAnsi="Times New Roman" w:cs="Times New Roman"/>
          <w:sz w:val="22"/>
          <w:szCs w:val="22"/>
        </w:rPr>
      </w:pPr>
      <w:r w:rsidRPr="00DB753F">
        <w:rPr>
          <w:rFonts w:ascii="Times New Roman" w:eastAsia="Times New Roman" w:hAnsi="Times New Roman" w:cs="Times New Roman"/>
          <w:sz w:val="22"/>
          <w:szCs w:val="22"/>
          <w:u w:val="single"/>
        </w:rPr>
        <w:t xml:space="preserve">Development of an options paper </w:t>
      </w:r>
      <w:r w:rsidR="0065664A">
        <w:rPr>
          <w:rFonts w:ascii="Times New Roman" w:eastAsia="Times New Roman" w:hAnsi="Times New Roman" w:cs="Times New Roman"/>
          <w:sz w:val="22"/>
          <w:szCs w:val="22"/>
          <w:u w:val="single"/>
        </w:rPr>
        <w:t xml:space="preserve">and an actionable plan </w:t>
      </w:r>
      <w:r w:rsidRPr="00DB753F">
        <w:rPr>
          <w:rFonts w:ascii="Times New Roman" w:eastAsia="Times New Roman" w:hAnsi="Times New Roman" w:cs="Times New Roman"/>
          <w:sz w:val="22"/>
          <w:szCs w:val="22"/>
          <w:u w:val="single"/>
        </w:rPr>
        <w:t>for Gargaara’s institutionalization and capitalization</w:t>
      </w:r>
      <w:r w:rsidR="0065664A">
        <w:rPr>
          <w:rFonts w:ascii="Times New Roman" w:eastAsia="Times New Roman" w:hAnsi="Times New Roman" w:cs="Times New Roman"/>
          <w:sz w:val="22"/>
          <w:szCs w:val="22"/>
        </w:rPr>
        <w:t>:</w:t>
      </w:r>
    </w:p>
    <w:p w14:paraId="3591379A" w14:textId="4B03C614" w:rsidR="00DB753F" w:rsidRPr="0090074F" w:rsidRDefault="00DB753F" w:rsidP="0090074F">
      <w:pPr>
        <w:pStyle w:val="ListParagraph"/>
        <w:numPr>
          <w:ilvl w:val="0"/>
          <w:numId w:val="5"/>
        </w:numPr>
        <w:spacing w:after="60" w:line="259" w:lineRule="auto"/>
        <w:jc w:val="both"/>
        <w:rPr>
          <w:rFonts w:ascii="Times New Roman" w:hAnsi="Times New Roman" w:cs="Times New Roman"/>
          <w:sz w:val="22"/>
          <w:szCs w:val="22"/>
        </w:rPr>
      </w:pPr>
      <w:r w:rsidRPr="0090074F">
        <w:rPr>
          <w:rFonts w:ascii="Times New Roman" w:eastAsia="Times New Roman" w:hAnsi="Times New Roman" w:cs="Times New Roman"/>
          <w:i/>
          <w:iCs/>
          <w:sz w:val="22"/>
          <w:szCs w:val="22"/>
        </w:rPr>
        <w:t>The option</w:t>
      </w:r>
      <w:r w:rsidR="0065664A" w:rsidRPr="0090074F">
        <w:rPr>
          <w:rFonts w:ascii="Times New Roman" w:eastAsia="Times New Roman" w:hAnsi="Times New Roman" w:cs="Times New Roman"/>
          <w:i/>
          <w:iCs/>
          <w:sz w:val="22"/>
          <w:szCs w:val="22"/>
        </w:rPr>
        <w:t>s</w:t>
      </w:r>
      <w:r w:rsidRPr="0090074F">
        <w:rPr>
          <w:rFonts w:ascii="Times New Roman" w:eastAsia="Times New Roman" w:hAnsi="Times New Roman" w:cs="Times New Roman"/>
          <w:i/>
          <w:iCs/>
          <w:sz w:val="22"/>
          <w:szCs w:val="22"/>
        </w:rPr>
        <w:t xml:space="preserve"> paper</w:t>
      </w:r>
      <w:r w:rsidRPr="0090074F">
        <w:rPr>
          <w:rFonts w:ascii="Times New Roman" w:eastAsia="Times New Roman" w:hAnsi="Times New Roman" w:cs="Times New Roman"/>
          <w:sz w:val="22"/>
          <w:szCs w:val="22"/>
        </w:rPr>
        <w:t xml:space="preserve"> should include:  (i) review of relevant Somali legal and regulatory frameworks; including review of any government State Owned Enterprises (SOEs) related policies including those regarding ownership, governance, transparency and reporting requirements; identification on any regulatory gaps; (ii) review of  legal commitments and financing arrangements under SCALED-UP</w:t>
      </w:r>
      <w:r>
        <w:rPr>
          <w:rFonts w:ascii="Times New Roman" w:eastAsia="Times New Roman" w:hAnsi="Times New Roman" w:cs="Times New Roman"/>
          <w:sz w:val="22"/>
          <w:szCs w:val="22"/>
        </w:rPr>
        <w:t xml:space="preserve"> and</w:t>
      </w:r>
      <w:r w:rsidR="0038689C">
        <w:rPr>
          <w:rFonts w:ascii="Times New Roman" w:eastAsia="Times New Roman" w:hAnsi="Times New Roman" w:cs="Times New Roman"/>
          <w:sz w:val="22"/>
          <w:szCs w:val="22"/>
        </w:rPr>
        <w:t xml:space="preserve"> relevance for the assignment (</w:t>
      </w:r>
      <w:r w:rsidR="006E2A7C">
        <w:rPr>
          <w:rFonts w:ascii="Times New Roman" w:eastAsia="Times New Roman" w:hAnsi="Times New Roman" w:cs="Times New Roman"/>
          <w:sz w:val="22"/>
          <w:szCs w:val="22"/>
        </w:rPr>
        <w:t xml:space="preserve">in addition, the consultant may also need to review Gargaara </w:t>
      </w:r>
      <w:proofErr w:type="spellStart"/>
      <w:r w:rsidR="0038689C">
        <w:rPr>
          <w:rFonts w:ascii="Times New Roman" w:eastAsia="Times New Roman" w:hAnsi="Times New Roman" w:cs="Times New Roman"/>
          <w:sz w:val="22"/>
          <w:szCs w:val="22"/>
        </w:rPr>
        <w:t>KfW</w:t>
      </w:r>
      <w:proofErr w:type="spellEnd"/>
      <w:r w:rsidR="0038689C">
        <w:rPr>
          <w:rFonts w:ascii="Times New Roman" w:eastAsia="Times New Roman" w:hAnsi="Times New Roman" w:cs="Times New Roman"/>
          <w:sz w:val="22"/>
          <w:szCs w:val="22"/>
        </w:rPr>
        <w:t xml:space="preserve"> </w:t>
      </w:r>
      <w:r w:rsidR="006E2A7C">
        <w:rPr>
          <w:rFonts w:ascii="Times New Roman" w:eastAsia="Times New Roman" w:hAnsi="Times New Roman" w:cs="Times New Roman"/>
          <w:sz w:val="22"/>
          <w:szCs w:val="22"/>
        </w:rPr>
        <w:t xml:space="preserve">funding </w:t>
      </w:r>
      <w:r w:rsidR="0038689C">
        <w:rPr>
          <w:rFonts w:ascii="Times New Roman" w:eastAsia="Times New Roman" w:hAnsi="Times New Roman" w:cs="Times New Roman"/>
          <w:sz w:val="22"/>
          <w:szCs w:val="22"/>
        </w:rPr>
        <w:t xml:space="preserve">agreements </w:t>
      </w:r>
      <w:r w:rsidR="006E2A7C">
        <w:rPr>
          <w:rFonts w:ascii="Times New Roman" w:eastAsia="Times New Roman" w:hAnsi="Times New Roman" w:cs="Times New Roman"/>
          <w:sz w:val="22"/>
          <w:szCs w:val="22"/>
        </w:rPr>
        <w:t>as well as the Somalia component of the WB DRIVE Project managed by MOF)</w:t>
      </w:r>
      <w:r w:rsidRPr="0090074F">
        <w:rPr>
          <w:rFonts w:ascii="Times New Roman" w:eastAsia="Times New Roman" w:hAnsi="Times New Roman" w:cs="Times New Roman"/>
          <w:sz w:val="22"/>
          <w:szCs w:val="22"/>
        </w:rPr>
        <w:t xml:space="preserve">; (iii) </w:t>
      </w:r>
      <w:r w:rsidR="009A40B5">
        <w:rPr>
          <w:rFonts w:ascii="Times New Roman" w:eastAsia="Times New Roman" w:hAnsi="Times New Roman" w:cs="Times New Roman"/>
          <w:sz w:val="22"/>
          <w:szCs w:val="22"/>
        </w:rPr>
        <w:t>R</w:t>
      </w:r>
      <w:r w:rsidRPr="0090074F">
        <w:rPr>
          <w:rFonts w:ascii="Times New Roman" w:eastAsia="Times New Roman" w:hAnsi="Times New Roman" w:cs="Times New Roman"/>
          <w:sz w:val="22"/>
          <w:szCs w:val="22"/>
        </w:rPr>
        <w:t>ecommendations/options (and their pros and cons) for institutionalization and capitalization of Gargaara</w:t>
      </w:r>
      <w:r w:rsidR="0065664A">
        <w:rPr>
          <w:rFonts w:ascii="Times New Roman" w:eastAsia="Times New Roman" w:hAnsi="Times New Roman" w:cs="Times New Roman"/>
          <w:sz w:val="22"/>
          <w:szCs w:val="22"/>
        </w:rPr>
        <w:t>. In addition, the consultant will provide a</w:t>
      </w:r>
      <w:r w:rsidRPr="0090074F">
        <w:rPr>
          <w:rFonts w:ascii="Times New Roman" w:eastAsia="Times New Roman" w:hAnsi="Times New Roman" w:cs="Times New Roman"/>
          <w:sz w:val="22"/>
          <w:szCs w:val="22"/>
        </w:rPr>
        <w:t>dvisory guidance to MOF to help select the most practical way forward.</w:t>
      </w:r>
    </w:p>
    <w:p w14:paraId="7A653B7E" w14:textId="39FB210A" w:rsidR="0065664A" w:rsidRPr="0090074F" w:rsidRDefault="0065664A" w:rsidP="0090074F">
      <w:pPr>
        <w:pStyle w:val="ListParagraph"/>
        <w:numPr>
          <w:ilvl w:val="0"/>
          <w:numId w:val="5"/>
        </w:numPr>
        <w:spacing w:after="60" w:line="259" w:lineRule="auto"/>
        <w:jc w:val="both"/>
        <w:rPr>
          <w:rFonts w:ascii="Times New Roman" w:hAnsi="Times New Roman" w:cs="Times New Roman"/>
          <w:sz w:val="22"/>
          <w:szCs w:val="22"/>
        </w:rPr>
      </w:pPr>
      <w:r w:rsidRPr="0090074F">
        <w:rPr>
          <w:rFonts w:ascii="Times New Roman" w:eastAsia="Times New Roman" w:hAnsi="Times New Roman" w:cs="Times New Roman"/>
          <w:i/>
          <w:iCs/>
          <w:sz w:val="22"/>
          <w:szCs w:val="22"/>
        </w:rPr>
        <w:lastRenderedPageBreak/>
        <w:t>A detailed action plan with clear timelines, roles and responsibilities</w:t>
      </w:r>
      <w:r>
        <w:rPr>
          <w:rFonts w:ascii="Times New Roman" w:eastAsia="Times New Roman" w:hAnsi="Times New Roman" w:cs="Times New Roman"/>
          <w:sz w:val="22"/>
          <w:szCs w:val="22"/>
        </w:rPr>
        <w:t xml:space="preserve"> to be prepared in consultation with MoF and other key stakeholders, after selecting the preferred option for Gargaara’s institutionalization and capitalization.</w:t>
      </w:r>
    </w:p>
    <w:p w14:paraId="1C0E3397" w14:textId="77777777" w:rsidR="00DB753F" w:rsidRPr="0090074F" w:rsidRDefault="00DB753F" w:rsidP="0090074F">
      <w:pPr>
        <w:pStyle w:val="ListParagraph"/>
        <w:spacing w:after="60" w:line="259" w:lineRule="auto"/>
        <w:ind w:left="360"/>
        <w:jc w:val="both"/>
        <w:rPr>
          <w:rFonts w:ascii="Times New Roman" w:hAnsi="Times New Roman" w:cs="Times New Roman"/>
          <w:sz w:val="22"/>
          <w:szCs w:val="22"/>
        </w:rPr>
      </w:pPr>
    </w:p>
    <w:p w14:paraId="49FCAB3A" w14:textId="20DC012F" w:rsidR="003F092E" w:rsidRPr="0090074F" w:rsidRDefault="00C477F5" w:rsidP="0090074F">
      <w:pPr>
        <w:pStyle w:val="ListParagraph"/>
        <w:numPr>
          <w:ilvl w:val="0"/>
          <w:numId w:val="4"/>
        </w:numPr>
        <w:spacing w:after="60" w:line="259" w:lineRule="auto"/>
        <w:ind w:left="360"/>
        <w:jc w:val="both"/>
        <w:rPr>
          <w:rFonts w:ascii="Times New Roman" w:hAnsi="Times New Roman" w:cs="Times New Roman"/>
          <w:sz w:val="22"/>
          <w:szCs w:val="22"/>
        </w:rPr>
      </w:pPr>
      <w:r w:rsidRPr="0090074F">
        <w:rPr>
          <w:rFonts w:ascii="Times New Roman" w:eastAsia="Times New Roman" w:hAnsi="Times New Roman" w:cs="Times New Roman"/>
          <w:sz w:val="22"/>
          <w:szCs w:val="22"/>
          <w:u w:val="single"/>
        </w:rPr>
        <w:t>Strengthening of Gargaara’s governance arrangements through advising MoF on how to</w:t>
      </w:r>
      <w:r w:rsidRPr="0090074F">
        <w:rPr>
          <w:rFonts w:ascii="Times New Roman" w:eastAsia="Times New Roman" w:hAnsi="Times New Roman" w:cs="Times New Roman"/>
          <w:sz w:val="22"/>
          <w:szCs w:val="22"/>
        </w:rPr>
        <w:t>: (i) define and implement reporting instruments to be used by Gargaara’s Board</w:t>
      </w:r>
      <w:r w:rsidR="0007732A">
        <w:rPr>
          <w:rFonts w:ascii="Times New Roman" w:eastAsia="Times New Roman" w:hAnsi="Times New Roman" w:cs="Times New Roman"/>
          <w:sz w:val="22"/>
          <w:szCs w:val="22"/>
        </w:rPr>
        <w:t xml:space="preserve"> – this should include</w:t>
      </w:r>
      <w:r w:rsidRPr="0090074F">
        <w:rPr>
          <w:rFonts w:ascii="Times New Roman" w:eastAsia="Times New Roman" w:hAnsi="Times New Roman" w:cs="Times New Roman"/>
          <w:sz w:val="22"/>
          <w:szCs w:val="22"/>
        </w:rPr>
        <w:t xml:space="preserve"> </w:t>
      </w:r>
      <w:r w:rsidR="0007732A">
        <w:rPr>
          <w:rFonts w:ascii="Times New Roman" w:eastAsia="Times New Roman" w:hAnsi="Times New Roman" w:cs="Times New Roman"/>
          <w:sz w:val="22"/>
          <w:szCs w:val="22"/>
        </w:rPr>
        <w:t>a</w:t>
      </w:r>
      <w:r w:rsidRPr="0090074F">
        <w:rPr>
          <w:rFonts w:ascii="Times New Roman" w:eastAsia="Times New Roman" w:hAnsi="Times New Roman" w:cs="Times New Roman"/>
          <w:sz w:val="22"/>
          <w:szCs w:val="22"/>
        </w:rPr>
        <w:t xml:space="preserve"> reporting schedule </w:t>
      </w:r>
      <w:r w:rsidR="0007732A">
        <w:rPr>
          <w:rFonts w:ascii="Times New Roman" w:eastAsia="Times New Roman" w:hAnsi="Times New Roman" w:cs="Times New Roman"/>
          <w:sz w:val="22"/>
          <w:szCs w:val="22"/>
        </w:rPr>
        <w:t xml:space="preserve">and </w:t>
      </w:r>
      <w:r w:rsidR="004F3405">
        <w:rPr>
          <w:rFonts w:ascii="Times New Roman" w:eastAsia="Times New Roman" w:hAnsi="Times New Roman" w:cs="Times New Roman"/>
          <w:sz w:val="22"/>
          <w:szCs w:val="22"/>
        </w:rPr>
        <w:t xml:space="preserve">agreement on format and key </w:t>
      </w:r>
      <w:r w:rsidRPr="0090074F">
        <w:rPr>
          <w:rFonts w:ascii="Times New Roman" w:eastAsia="Times New Roman" w:hAnsi="Times New Roman" w:cs="Times New Roman"/>
          <w:sz w:val="22"/>
          <w:szCs w:val="22"/>
        </w:rPr>
        <w:t xml:space="preserve">information to be provided in each </w:t>
      </w:r>
      <w:r w:rsidR="004F3405">
        <w:rPr>
          <w:rFonts w:ascii="Times New Roman" w:eastAsia="Times New Roman" w:hAnsi="Times New Roman" w:cs="Times New Roman"/>
          <w:sz w:val="22"/>
          <w:szCs w:val="22"/>
        </w:rPr>
        <w:t xml:space="preserve">reporting </w:t>
      </w:r>
      <w:r w:rsidRPr="0090074F">
        <w:rPr>
          <w:rFonts w:ascii="Times New Roman" w:eastAsia="Times New Roman" w:hAnsi="Times New Roman" w:cs="Times New Roman"/>
          <w:sz w:val="22"/>
          <w:szCs w:val="22"/>
        </w:rPr>
        <w:t xml:space="preserve">period; (ii) </w:t>
      </w:r>
      <w:r w:rsidR="00B900E9">
        <w:rPr>
          <w:rFonts w:ascii="Times New Roman" w:eastAsia="Times New Roman" w:hAnsi="Times New Roman" w:cs="Times New Roman"/>
          <w:sz w:val="22"/>
          <w:szCs w:val="22"/>
        </w:rPr>
        <w:t>enhance</w:t>
      </w:r>
      <w:r w:rsidR="002F5851">
        <w:rPr>
          <w:rFonts w:ascii="Times New Roman" w:eastAsia="Times New Roman" w:hAnsi="Times New Roman" w:cs="Times New Roman"/>
          <w:sz w:val="22"/>
          <w:szCs w:val="22"/>
        </w:rPr>
        <w:t xml:space="preserve"> Board efficiency through </w:t>
      </w:r>
      <w:r w:rsidR="00923887">
        <w:rPr>
          <w:rFonts w:ascii="Times New Roman" w:eastAsia="Times New Roman" w:hAnsi="Times New Roman" w:cs="Times New Roman"/>
          <w:sz w:val="22"/>
          <w:szCs w:val="22"/>
        </w:rPr>
        <w:t xml:space="preserve">more </w:t>
      </w:r>
      <w:r w:rsidR="00B900E9">
        <w:rPr>
          <w:rFonts w:ascii="Times New Roman" w:eastAsia="Times New Roman" w:hAnsi="Times New Roman" w:cs="Times New Roman"/>
          <w:sz w:val="22"/>
          <w:szCs w:val="22"/>
        </w:rPr>
        <w:t xml:space="preserve">regular </w:t>
      </w:r>
      <w:r w:rsidR="0065664A">
        <w:rPr>
          <w:rFonts w:ascii="Times New Roman" w:eastAsia="Times New Roman" w:hAnsi="Times New Roman" w:cs="Times New Roman"/>
          <w:sz w:val="22"/>
          <w:szCs w:val="22"/>
        </w:rPr>
        <w:t>B</w:t>
      </w:r>
      <w:r w:rsidR="00B900E9">
        <w:rPr>
          <w:rFonts w:ascii="Times New Roman" w:eastAsia="Times New Roman" w:hAnsi="Times New Roman" w:cs="Times New Roman"/>
          <w:sz w:val="22"/>
          <w:szCs w:val="22"/>
        </w:rPr>
        <w:t>oard meeting</w:t>
      </w:r>
      <w:r w:rsidR="0065664A">
        <w:rPr>
          <w:rFonts w:ascii="Times New Roman" w:eastAsia="Times New Roman" w:hAnsi="Times New Roman" w:cs="Times New Roman"/>
          <w:sz w:val="22"/>
          <w:szCs w:val="22"/>
        </w:rPr>
        <w:t>s</w:t>
      </w:r>
      <w:r w:rsidR="00B900E9">
        <w:rPr>
          <w:rFonts w:ascii="Times New Roman" w:eastAsia="Times New Roman" w:hAnsi="Times New Roman" w:cs="Times New Roman"/>
          <w:sz w:val="22"/>
          <w:szCs w:val="22"/>
        </w:rPr>
        <w:t xml:space="preserve"> and </w:t>
      </w:r>
      <w:r w:rsidR="00923887">
        <w:rPr>
          <w:rFonts w:ascii="Times New Roman" w:eastAsia="Times New Roman" w:hAnsi="Times New Roman" w:cs="Times New Roman"/>
          <w:sz w:val="22"/>
          <w:szCs w:val="22"/>
        </w:rPr>
        <w:t xml:space="preserve">ways to incentivize more active </w:t>
      </w:r>
      <w:r w:rsidRPr="0090074F">
        <w:rPr>
          <w:rFonts w:ascii="Times New Roman" w:eastAsia="Times New Roman" w:hAnsi="Times New Roman" w:cs="Times New Roman"/>
          <w:sz w:val="22"/>
          <w:szCs w:val="22"/>
        </w:rPr>
        <w:t xml:space="preserve">participation </w:t>
      </w:r>
      <w:r w:rsidR="00117D5B">
        <w:rPr>
          <w:rFonts w:ascii="Times New Roman" w:eastAsia="Times New Roman" w:hAnsi="Times New Roman" w:cs="Times New Roman"/>
          <w:sz w:val="22"/>
          <w:szCs w:val="22"/>
        </w:rPr>
        <w:t>of Board members</w:t>
      </w:r>
      <w:r w:rsidRPr="0090074F">
        <w:rPr>
          <w:rFonts w:ascii="Times New Roman" w:eastAsia="Times New Roman" w:hAnsi="Times New Roman" w:cs="Times New Roman"/>
          <w:sz w:val="22"/>
          <w:szCs w:val="22"/>
        </w:rPr>
        <w:t>; (i</w:t>
      </w:r>
      <w:r w:rsidR="00205161">
        <w:rPr>
          <w:rFonts w:ascii="Times New Roman" w:eastAsia="Times New Roman" w:hAnsi="Times New Roman" w:cs="Times New Roman"/>
          <w:sz w:val="22"/>
          <w:szCs w:val="22"/>
        </w:rPr>
        <w:t>ii</w:t>
      </w:r>
      <w:r w:rsidRPr="0090074F">
        <w:rPr>
          <w:rFonts w:ascii="Times New Roman" w:eastAsia="Times New Roman" w:hAnsi="Times New Roman" w:cs="Times New Roman"/>
          <w:sz w:val="22"/>
          <w:szCs w:val="22"/>
        </w:rPr>
        <w:t xml:space="preserve">) </w:t>
      </w:r>
      <w:r w:rsidR="008E023F">
        <w:rPr>
          <w:rFonts w:ascii="Times New Roman" w:eastAsia="Times New Roman" w:hAnsi="Times New Roman" w:cs="Times New Roman"/>
          <w:sz w:val="22"/>
          <w:szCs w:val="22"/>
        </w:rPr>
        <w:t>set-up</w:t>
      </w:r>
      <w:r w:rsidR="008E023F" w:rsidRPr="0090074F">
        <w:rPr>
          <w:rFonts w:ascii="Times New Roman" w:eastAsia="Times New Roman" w:hAnsi="Times New Roman" w:cs="Times New Roman"/>
          <w:sz w:val="22"/>
          <w:szCs w:val="22"/>
        </w:rPr>
        <w:t xml:space="preserve"> </w:t>
      </w:r>
      <w:r w:rsidRPr="0090074F">
        <w:rPr>
          <w:rFonts w:ascii="Times New Roman" w:eastAsia="Times New Roman" w:hAnsi="Times New Roman" w:cs="Times New Roman"/>
          <w:sz w:val="22"/>
          <w:szCs w:val="22"/>
        </w:rPr>
        <w:t>a transparent system to appoint</w:t>
      </w:r>
      <w:r w:rsidR="008E023F">
        <w:rPr>
          <w:rFonts w:ascii="Times New Roman" w:eastAsia="Times New Roman" w:hAnsi="Times New Roman" w:cs="Times New Roman"/>
          <w:sz w:val="22"/>
          <w:szCs w:val="22"/>
        </w:rPr>
        <w:t>/re-appoint</w:t>
      </w:r>
      <w:r w:rsidRPr="0090074F">
        <w:rPr>
          <w:rFonts w:ascii="Times New Roman" w:eastAsia="Times New Roman" w:hAnsi="Times New Roman" w:cs="Times New Roman"/>
          <w:sz w:val="22"/>
          <w:szCs w:val="22"/>
        </w:rPr>
        <w:t>, incentivize, and evaluate members of the Board; (</w:t>
      </w:r>
      <w:r w:rsidR="001C11FF">
        <w:rPr>
          <w:rFonts w:ascii="Times New Roman" w:eastAsia="Times New Roman" w:hAnsi="Times New Roman" w:cs="Times New Roman"/>
          <w:sz w:val="22"/>
          <w:szCs w:val="22"/>
        </w:rPr>
        <w:t>i</w:t>
      </w:r>
      <w:r w:rsidRPr="0090074F">
        <w:rPr>
          <w:rFonts w:ascii="Times New Roman" w:eastAsia="Times New Roman" w:hAnsi="Times New Roman" w:cs="Times New Roman"/>
          <w:sz w:val="22"/>
          <w:szCs w:val="22"/>
        </w:rPr>
        <w:t xml:space="preserve">v) improve Gargaara’s Board technical capacity and performance related to stewardship of the institution; (v) </w:t>
      </w:r>
      <w:r w:rsidR="0065664A">
        <w:rPr>
          <w:rFonts w:ascii="Times New Roman" w:eastAsia="Times New Roman" w:hAnsi="Times New Roman" w:cs="Times New Roman"/>
          <w:sz w:val="22"/>
          <w:szCs w:val="22"/>
        </w:rPr>
        <w:t xml:space="preserve">identify </w:t>
      </w:r>
      <w:r w:rsidRPr="0090074F">
        <w:rPr>
          <w:rFonts w:ascii="Times New Roman" w:eastAsia="Times New Roman" w:hAnsi="Times New Roman" w:cs="Times New Roman"/>
          <w:sz w:val="22"/>
          <w:szCs w:val="22"/>
        </w:rPr>
        <w:t xml:space="preserve">changes </w:t>
      </w:r>
      <w:r w:rsidR="0065664A">
        <w:rPr>
          <w:rFonts w:ascii="Times New Roman" w:eastAsia="Times New Roman" w:hAnsi="Times New Roman" w:cs="Times New Roman"/>
          <w:sz w:val="22"/>
          <w:szCs w:val="22"/>
        </w:rPr>
        <w:t xml:space="preserve">needed </w:t>
      </w:r>
      <w:r w:rsidRPr="0090074F">
        <w:rPr>
          <w:rFonts w:ascii="Times New Roman" w:eastAsia="Times New Roman" w:hAnsi="Times New Roman" w:cs="Times New Roman"/>
          <w:sz w:val="22"/>
          <w:szCs w:val="22"/>
        </w:rPr>
        <w:t>to Gargaara’s charter so it is aligned with strengthened governance arrangements.</w:t>
      </w:r>
      <w:r w:rsidR="001C11FF" w:rsidRPr="001C11FF">
        <w:rPr>
          <w:rFonts w:ascii="Times New Roman" w:eastAsia="Times New Roman" w:hAnsi="Times New Roman" w:cs="Times New Roman"/>
          <w:sz w:val="22"/>
          <w:szCs w:val="22"/>
        </w:rPr>
        <w:t xml:space="preserve"> </w:t>
      </w:r>
    </w:p>
    <w:p w14:paraId="7D419BD2" w14:textId="77777777" w:rsidR="003F092E" w:rsidRDefault="003F092E">
      <w:pPr>
        <w:spacing w:after="60" w:line="259" w:lineRule="auto"/>
        <w:jc w:val="both"/>
        <w:rPr>
          <w:rFonts w:ascii="Times New Roman" w:hAnsi="Times New Roman" w:cs="Times New Roman"/>
          <w:sz w:val="22"/>
          <w:szCs w:val="22"/>
        </w:rPr>
      </w:pPr>
    </w:p>
    <w:p w14:paraId="5903B9A1" w14:textId="77777777" w:rsidR="003F092E" w:rsidRDefault="00C477F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EXPECTED DELIVERABLES</w:t>
      </w:r>
    </w:p>
    <w:p w14:paraId="7EF53684" w14:textId="77777777" w:rsidR="003F092E" w:rsidRDefault="003F092E">
      <w:pPr>
        <w:jc w:val="both"/>
        <w:rPr>
          <w:rFonts w:ascii="Times New Roman" w:eastAsia="Times New Roman" w:hAnsi="Times New Roman" w:cs="Times New Roman"/>
          <w:b/>
          <w:bCs/>
          <w:sz w:val="22"/>
          <w:szCs w:val="22"/>
        </w:rPr>
      </w:pPr>
    </w:p>
    <w:p w14:paraId="20396EC6" w14:textId="5AF85F7E" w:rsidR="003F092E" w:rsidRDefault="00C477F5">
      <w:pPr>
        <w:spacing w:after="60" w:line="259"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assignment is expected to take about </w:t>
      </w:r>
      <w:r w:rsidR="0065664A">
        <w:rPr>
          <w:rFonts w:ascii="Times New Roman" w:eastAsia="Times New Roman" w:hAnsi="Times New Roman" w:cs="Times New Roman"/>
          <w:sz w:val="22"/>
          <w:szCs w:val="22"/>
        </w:rPr>
        <w:t>45</w:t>
      </w:r>
      <w:r>
        <w:rPr>
          <w:rFonts w:ascii="Times New Roman" w:eastAsia="Times New Roman" w:hAnsi="Times New Roman" w:cs="Times New Roman"/>
          <w:sz w:val="22"/>
          <w:szCs w:val="22"/>
        </w:rPr>
        <w:t xml:space="preserve"> working days to complete. The following outputs/deliverables are expected from the various tasks during the engagement:</w:t>
      </w:r>
    </w:p>
    <w:p w14:paraId="39E8557B" w14:textId="77777777" w:rsidR="003F092E" w:rsidRDefault="003F092E">
      <w:pPr>
        <w:spacing w:after="60" w:line="259" w:lineRule="auto"/>
        <w:jc w:val="both"/>
        <w:rPr>
          <w:rFonts w:ascii="Times New Roman" w:eastAsia="Times New Roman" w:hAnsi="Times New Roman" w:cs="Times New Roman"/>
          <w:sz w:val="22"/>
          <w:szCs w:val="22"/>
        </w:rPr>
      </w:pPr>
    </w:p>
    <w:p w14:paraId="21242D32" w14:textId="77777777" w:rsidR="003F092E" w:rsidRDefault="00C477F5">
      <w:pPr>
        <w:pStyle w:val="ListParagraph"/>
        <w:numPr>
          <w:ilvl w:val="0"/>
          <w:numId w:val="2"/>
        </w:numPr>
        <w:spacing w:after="60" w:line="259"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Inception Report including a description of the methodology for carrying out this consultancy. </w:t>
      </w:r>
    </w:p>
    <w:p w14:paraId="03E6A505" w14:textId="6114F21F" w:rsidR="003F092E" w:rsidRDefault="00C477F5">
      <w:pPr>
        <w:pStyle w:val="ListParagraph"/>
        <w:numPr>
          <w:ilvl w:val="0"/>
          <w:numId w:val="2"/>
        </w:numPr>
        <w:spacing w:after="60" w:line="259"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Assessment of all the relevant legal and regulatory frameworks, and government policies; and carrying out consultations with relevant stakeholders.</w:t>
      </w:r>
    </w:p>
    <w:p w14:paraId="425559BA" w14:textId="05744E80" w:rsidR="003F092E" w:rsidRDefault="00C477F5">
      <w:pPr>
        <w:pStyle w:val="ListParagraph"/>
        <w:numPr>
          <w:ilvl w:val="0"/>
          <w:numId w:val="2"/>
        </w:numPr>
        <w:spacing w:after="60" w:line="259"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Development of an options paper for MoF on Gargaara’s institutional struct</w:t>
      </w:r>
      <w:r w:rsidR="00054D5C">
        <w:rPr>
          <w:rFonts w:ascii="Times New Roman" w:eastAsia="Times New Roman" w:hAnsi="Times New Roman" w:cs="Times New Roman"/>
          <w:sz w:val="22"/>
          <w:szCs w:val="22"/>
        </w:rPr>
        <w:t>u</w:t>
      </w:r>
      <w:r>
        <w:rPr>
          <w:rFonts w:ascii="Times New Roman" w:eastAsia="Times New Roman" w:hAnsi="Times New Roman" w:cs="Times New Roman"/>
          <w:sz w:val="22"/>
          <w:szCs w:val="22"/>
        </w:rPr>
        <w:t>re to review and agree on the most suitable option for Somali context.</w:t>
      </w:r>
    </w:p>
    <w:p w14:paraId="5F601527" w14:textId="59F4434A" w:rsidR="003F092E" w:rsidRDefault="00C477F5">
      <w:pPr>
        <w:pStyle w:val="ListParagraph"/>
        <w:numPr>
          <w:ilvl w:val="0"/>
          <w:numId w:val="2"/>
        </w:numPr>
        <w:spacing w:after="60" w:line="259"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Development of </w:t>
      </w:r>
      <w:proofErr w:type="gramStart"/>
      <w:r>
        <w:rPr>
          <w:rFonts w:ascii="Times New Roman" w:eastAsia="Times New Roman" w:hAnsi="Times New Roman" w:cs="Times New Roman"/>
          <w:sz w:val="22"/>
          <w:szCs w:val="22"/>
        </w:rPr>
        <w:t>a</w:t>
      </w:r>
      <w:proofErr w:type="gramEnd"/>
      <w:r>
        <w:rPr>
          <w:rFonts w:ascii="Times New Roman" w:eastAsia="Times New Roman" w:hAnsi="Times New Roman" w:cs="Times New Roman"/>
          <w:sz w:val="22"/>
          <w:szCs w:val="22"/>
        </w:rPr>
        <w:t xml:space="preserve"> actionable plan for Gargaara’s institutionalization and capitalization.</w:t>
      </w:r>
    </w:p>
    <w:p w14:paraId="0418582E" w14:textId="77777777" w:rsidR="003F092E" w:rsidRDefault="00C477F5">
      <w:pPr>
        <w:pStyle w:val="ListParagraph"/>
        <w:numPr>
          <w:ilvl w:val="0"/>
          <w:numId w:val="2"/>
        </w:numPr>
        <w:spacing w:after="60" w:line="259"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Development of recommendations for stronger governance arrangements for Gargaara.</w:t>
      </w:r>
    </w:p>
    <w:p w14:paraId="34FB9C7A" w14:textId="77777777" w:rsidR="003F092E" w:rsidRDefault="00C477F5">
      <w:pPr>
        <w:pStyle w:val="ListParagraph"/>
        <w:numPr>
          <w:ilvl w:val="0"/>
          <w:numId w:val="2"/>
        </w:numPr>
        <w:spacing w:after="60" w:line="259"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Final report outlining the roadmap for Gargaara’s institutionalization, capitalization, and measures for stronger governance arrangements.</w:t>
      </w:r>
    </w:p>
    <w:p w14:paraId="1C2FEDCB" w14:textId="7E390E6F" w:rsidR="003F092E" w:rsidRDefault="003F092E">
      <w:pPr>
        <w:jc w:val="both"/>
        <w:rPr>
          <w:rFonts w:ascii="Times New Roman" w:eastAsia="Times New Roman" w:hAnsi="Times New Roman" w:cs="Times New Roman"/>
          <w:sz w:val="22"/>
          <w:szCs w:val="22"/>
        </w:rPr>
      </w:pPr>
    </w:p>
    <w:p w14:paraId="3546B4D9" w14:textId="37CFB632" w:rsidR="0065664A" w:rsidRDefault="0065664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contract may be </w:t>
      </w:r>
      <w:r w:rsidR="00D0593C">
        <w:rPr>
          <w:rFonts w:ascii="Times New Roman" w:eastAsia="Times New Roman" w:hAnsi="Times New Roman" w:cs="Times New Roman"/>
          <w:sz w:val="22"/>
          <w:szCs w:val="22"/>
        </w:rPr>
        <w:t>modified/</w:t>
      </w:r>
      <w:r>
        <w:rPr>
          <w:rFonts w:ascii="Times New Roman" w:eastAsia="Times New Roman" w:hAnsi="Times New Roman" w:cs="Times New Roman"/>
          <w:sz w:val="22"/>
          <w:szCs w:val="22"/>
        </w:rPr>
        <w:t xml:space="preserve">extended by mutual agreement between MoF and the consultant if additional </w:t>
      </w:r>
      <w:r w:rsidR="00D0593C">
        <w:rPr>
          <w:rFonts w:ascii="Times New Roman" w:eastAsia="Times New Roman" w:hAnsi="Times New Roman" w:cs="Times New Roman"/>
          <w:sz w:val="22"/>
          <w:szCs w:val="22"/>
        </w:rPr>
        <w:t>tasks are</w:t>
      </w:r>
      <w:r>
        <w:rPr>
          <w:rFonts w:ascii="Times New Roman" w:eastAsia="Times New Roman" w:hAnsi="Times New Roman" w:cs="Times New Roman"/>
          <w:sz w:val="22"/>
          <w:szCs w:val="22"/>
        </w:rPr>
        <w:t xml:space="preserve"> identified </w:t>
      </w:r>
      <w:r w:rsidR="00D0593C">
        <w:rPr>
          <w:rFonts w:ascii="Times New Roman" w:eastAsia="Times New Roman" w:hAnsi="Times New Roman" w:cs="Times New Roman"/>
          <w:sz w:val="22"/>
          <w:szCs w:val="22"/>
        </w:rPr>
        <w:t>to support the</w:t>
      </w:r>
      <w:r>
        <w:rPr>
          <w:rFonts w:ascii="Times New Roman" w:eastAsia="Times New Roman" w:hAnsi="Times New Roman" w:cs="Times New Roman"/>
          <w:sz w:val="22"/>
          <w:szCs w:val="22"/>
        </w:rPr>
        <w:t xml:space="preserve"> implementation phase of the agreed way forward</w:t>
      </w:r>
      <w:r w:rsidR="00054D5C">
        <w:rPr>
          <w:rFonts w:ascii="Times New Roman" w:eastAsia="Times New Roman" w:hAnsi="Times New Roman" w:cs="Times New Roman"/>
          <w:sz w:val="22"/>
          <w:szCs w:val="22"/>
        </w:rPr>
        <w:t xml:space="preserve">/action plan </w:t>
      </w:r>
      <w:r>
        <w:rPr>
          <w:rFonts w:ascii="Times New Roman" w:eastAsia="Times New Roman" w:hAnsi="Times New Roman" w:cs="Times New Roman"/>
          <w:sz w:val="22"/>
          <w:szCs w:val="22"/>
        </w:rPr>
        <w:t xml:space="preserve">for Gargaara’s institutionalization and capitalization, as well as strengthening of the Board’s governance arrangements. </w:t>
      </w:r>
    </w:p>
    <w:p w14:paraId="43E31634" w14:textId="77777777" w:rsidR="0065664A" w:rsidRDefault="0065664A">
      <w:pPr>
        <w:jc w:val="both"/>
        <w:rPr>
          <w:rFonts w:ascii="Times New Roman" w:hAnsi="Times New Roman" w:cs="Times New Roman"/>
          <w:b/>
          <w:bCs/>
          <w:sz w:val="22"/>
          <w:szCs w:val="22"/>
        </w:rPr>
      </w:pPr>
    </w:p>
    <w:p w14:paraId="75C24E66" w14:textId="77777777" w:rsidR="003F092E" w:rsidRDefault="00C477F5">
      <w:pPr>
        <w:spacing w:line="276" w:lineRule="auto"/>
        <w:jc w:val="both"/>
        <w:rPr>
          <w:rFonts w:ascii="Times New Roman" w:hAnsi="Times New Roman" w:cs="Times New Roman"/>
          <w:b/>
          <w:color w:val="0A0A0A"/>
          <w:sz w:val="22"/>
          <w:szCs w:val="22"/>
        </w:rPr>
      </w:pPr>
      <w:r>
        <w:rPr>
          <w:rFonts w:ascii="Times New Roman" w:hAnsi="Times New Roman" w:cs="Times New Roman"/>
          <w:b/>
          <w:color w:val="0A0A0A"/>
          <w:sz w:val="22"/>
          <w:szCs w:val="22"/>
        </w:rPr>
        <w:t>TECHNICAL EVALUATION CRITERIA</w:t>
      </w:r>
    </w:p>
    <w:p w14:paraId="3FC6366A" w14:textId="77777777" w:rsidR="003F092E" w:rsidRDefault="003F092E">
      <w:pPr>
        <w:spacing w:line="276" w:lineRule="auto"/>
        <w:jc w:val="both"/>
        <w:rPr>
          <w:rFonts w:ascii="Times New Roman" w:hAnsi="Times New Roman" w:cs="Times New Roman"/>
          <w:b/>
          <w:color w:val="0A0A0A"/>
          <w:sz w:val="22"/>
          <w:szCs w:val="22"/>
        </w:rPr>
      </w:pPr>
    </w:p>
    <w:p w14:paraId="3222587A" w14:textId="77777777" w:rsidR="003F092E" w:rsidRDefault="00C477F5">
      <w:pPr>
        <w:jc w:val="both"/>
        <w:rPr>
          <w:rFonts w:ascii="Times New Roman" w:hAnsi="Times New Roman" w:cs="Times New Roman"/>
          <w:sz w:val="22"/>
          <w:szCs w:val="22"/>
        </w:rPr>
      </w:pPr>
      <w:r>
        <w:rPr>
          <w:rFonts w:ascii="Times New Roman" w:hAnsi="Times New Roman" w:cs="Times New Roman"/>
          <w:sz w:val="22"/>
          <w:szCs w:val="22"/>
        </w:rPr>
        <w:t>The consultant should have the following experience:</w:t>
      </w:r>
    </w:p>
    <w:p w14:paraId="6AA8FD3C" w14:textId="5EA85D1B" w:rsidR="003F092E" w:rsidRDefault="00C477F5">
      <w:pPr>
        <w:pStyle w:val="ListParagraph"/>
        <w:numPr>
          <w:ilvl w:val="0"/>
          <w:numId w:val="1"/>
        </w:numPr>
        <w:spacing w:after="60" w:line="259" w:lineRule="auto"/>
        <w:ind w:left="360" w:hanging="360"/>
        <w:jc w:val="both"/>
        <w:rPr>
          <w:rFonts w:ascii="Times New Roman" w:hAnsi="Times New Roman" w:cs="Times New Roman"/>
          <w:sz w:val="22"/>
          <w:szCs w:val="22"/>
        </w:rPr>
      </w:pPr>
      <w:r>
        <w:rPr>
          <w:rFonts w:ascii="Times New Roman" w:hAnsi="Times New Roman" w:cs="Times New Roman"/>
          <w:sz w:val="22"/>
          <w:szCs w:val="22"/>
        </w:rPr>
        <w:t>At a minimum, a Master´s degree in finance, economics, business, or law, and at least 15 years of work experience</w:t>
      </w:r>
      <w:r w:rsidR="00054D5C">
        <w:rPr>
          <w:rFonts w:ascii="Times New Roman" w:hAnsi="Times New Roman" w:cs="Times New Roman"/>
          <w:sz w:val="22"/>
          <w:szCs w:val="22"/>
        </w:rPr>
        <w:t>.</w:t>
      </w:r>
    </w:p>
    <w:p w14:paraId="71074CAE" w14:textId="73127530" w:rsidR="003F092E" w:rsidRPr="0090074F" w:rsidRDefault="00C477F5" w:rsidP="00C929C4">
      <w:pPr>
        <w:pStyle w:val="ListParagraph"/>
        <w:numPr>
          <w:ilvl w:val="0"/>
          <w:numId w:val="1"/>
        </w:numPr>
        <w:spacing w:after="60" w:line="259" w:lineRule="auto"/>
        <w:ind w:left="360" w:hanging="360"/>
        <w:jc w:val="both"/>
        <w:rPr>
          <w:rFonts w:ascii="Times New Roman" w:hAnsi="Times New Roman" w:cs="Times New Roman"/>
          <w:sz w:val="22"/>
          <w:szCs w:val="22"/>
        </w:rPr>
      </w:pPr>
      <w:r w:rsidRPr="00C929C4">
        <w:rPr>
          <w:rFonts w:ascii="Times New Roman" w:hAnsi="Times New Roman" w:cs="Times New Roman"/>
          <w:sz w:val="22"/>
          <w:szCs w:val="22"/>
        </w:rPr>
        <w:t xml:space="preserve">At least 10 years of experience in finance, economics, </w:t>
      </w:r>
      <w:r w:rsidR="00C929C4">
        <w:rPr>
          <w:rFonts w:ascii="Times New Roman" w:hAnsi="Times New Roman" w:cs="Times New Roman"/>
          <w:sz w:val="22"/>
          <w:szCs w:val="22"/>
        </w:rPr>
        <w:t xml:space="preserve">business administration and specifically in the field of </w:t>
      </w:r>
      <w:r w:rsidR="00C929C4" w:rsidRPr="00C929C4">
        <w:rPr>
          <w:rFonts w:ascii="Times New Roman" w:hAnsi="Times New Roman" w:cs="Times New Roman"/>
          <w:sz w:val="22"/>
          <w:szCs w:val="22"/>
        </w:rPr>
        <w:t>corporate and SOE governance, and SOE reforms is required</w:t>
      </w:r>
      <w:r w:rsidR="00C929C4">
        <w:rPr>
          <w:rFonts w:ascii="Times New Roman" w:hAnsi="Times New Roman" w:cs="Times New Roman"/>
          <w:sz w:val="22"/>
          <w:szCs w:val="22"/>
        </w:rPr>
        <w:t>. Ex</w:t>
      </w:r>
      <w:r w:rsidR="00C929C4" w:rsidRPr="00C929C4">
        <w:rPr>
          <w:rFonts w:ascii="Times New Roman" w:hAnsi="Times New Roman" w:cs="Times New Roman"/>
          <w:sz w:val="22"/>
          <w:szCs w:val="22"/>
        </w:rPr>
        <w:t xml:space="preserve">perience with </w:t>
      </w:r>
      <w:r w:rsidRPr="00C929C4">
        <w:rPr>
          <w:rFonts w:ascii="Times New Roman" w:hAnsi="Times New Roman" w:cs="Times New Roman"/>
          <w:sz w:val="22"/>
          <w:szCs w:val="22"/>
        </w:rPr>
        <w:t>business and asset valuation, financial modeling, and accounting of public companies</w:t>
      </w:r>
      <w:r w:rsidR="00C929C4">
        <w:rPr>
          <w:rFonts w:ascii="Times New Roman" w:hAnsi="Times New Roman" w:cs="Times New Roman"/>
          <w:sz w:val="22"/>
          <w:szCs w:val="22"/>
        </w:rPr>
        <w:t xml:space="preserve"> would be a plus</w:t>
      </w:r>
      <w:r w:rsidR="00C929C4" w:rsidRPr="00C929C4">
        <w:rPr>
          <w:rFonts w:ascii="Times New Roman" w:hAnsi="Times New Roman" w:cs="Times New Roman"/>
          <w:sz w:val="22"/>
          <w:szCs w:val="22"/>
        </w:rPr>
        <w:t xml:space="preserve">. Relevant knowledge of legal, </w:t>
      </w:r>
      <w:r w:rsidR="00AC459D" w:rsidRPr="00C929C4">
        <w:rPr>
          <w:rFonts w:ascii="Times New Roman" w:hAnsi="Times New Roman" w:cs="Times New Roman"/>
          <w:sz w:val="22"/>
          <w:szCs w:val="22"/>
        </w:rPr>
        <w:t>regulatory,</w:t>
      </w:r>
      <w:r w:rsidR="00C929C4" w:rsidRPr="00C929C4">
        <w:rPr>
          <w:rFonts w:ascii="Times New Roman" w:hAnsi="Times New Roman" w:cs="Times New Roman"/>
          <w:sz w:val="22"/>
          <w:szCs w:val="22"/>
        </w:rPr>
        <w:t xml:space="preserve"> and institutional frameworks relating to the assignment (especially in Somalia or similar countries) and experience supporting and drafting legal documents like decree laws, laws, regulations etc. w</w:t>
      </w:r>
      <w:r w:rsidR="00C929C4">
        <w:rPr>
          <w:rFonts w:ascii="Times New Roman" w:hAnsi="Times New Roman" w:cs="Times New Roman"/>
          <w:sz w:val="22"/>
          <w:szCs w:val="22"/>
        </w:rPr>
        <w:t>ill b</w:t>
      </w:r>
      <w:r w:rsidR="00C929C4" w:rsidRPr="00C929C4">
        <w:rPr>
          <w:rFonts w:ascii="Times New Roman" w:hAnsi="Times New Roman" w:cs="Times New Roman"/>
          <w:sz w:val="22"/>
          <w:szCs w:val="22"/>
        </w:rPr>
        <w:t xml:space="preserve">e desirable. </w:t>
      </w:r>
    </w:p>
    <w:p w14:paraId="4015B0D6" w14:textId="7420AE8B" w:rsidR="003F092E" w:rsidRDefault="005C1A7E">
      <w:pPr>
        <w:pStyle w:val="ListParagraph"/>
        <w:numPr>
          <w:ilvl w:val="0"/>
          <w:numId w:val="1"/>
        </w:numPr>
        <w:spacing w:after="60" w:line="259" w:lineRule="auto"/>
        <w:ind w:left="360" w:hanging="360"/>
        <w:jc w:val="both"/>
        <w:rPr>
          <w:rFonts w:ascii="Times New Roman" w:hAnsi="Times New Roman" w:cs="Times New Roman"/>
          <w:sz w:val="22"/>
          <w:szCs w:val="22"/>
        </w:rPr>
      </w:pPr>
      <w:r>
        <w:rPr>
          <w:rFonts w:ascii="Times New Roman" w:hAnsi="Times New Roman" w:cs="Times New Roman"/>
          <w:sz w:val="22"/>
          <w:szCs w:val="22"/>
        </w:rPr>
        <w:t>E</w:t>
      </w:r>
      <w:r w:rsidR="00C477F5">
        <w:rPr>
          <w:rFonts w:ascii="Times New Roman" w:hAnsi="Times New Roman" w:cs="Times New Roman"/>
          <w:sz w:val="22"/>
          <w:szCs w:val="22"/>
        </w:rPr>
        <w:t>xpertise with similar projects in similar countries</w:t>
      </w:r>
      <w:r>
        <w:rPr>
          <w:rFonts w:ascii="Times New Roman" w:hAnsi="Times New Roman" w:cs="Times New Roman"/>
          <w:sz w:val="22"/>
          <w:szCs w:val="22"/>
        </w:rPr>
        <w:t xml:space="preserve"> </w:t>
      </w:r>
      <w:r w:rsidR="006C1D8F">
        <w:rPr>
          <w:rFonts w:ascii="Times New Roman" w:hAnsi="Times New Roman" w:cs="Times New Roman"/>
          <w:sz w:val="22"/>
          <w:szCs w:val="22"/>
        </w:rPr>
        <w:t>would be an advantage</w:t>
      </w:r>
      <w:r w:rsidR="00C477F5">
        <w:rPr>
          <w:rFonts w:ascii="Times New Roman" w:hAnsi="Times New Roman" w:cs="Times New Roman"/>
          <w:sz w:val="22"/>
          <w:szCs w:val="22"/>
        </w:rPr>
        <w:t>.</w:t>
      </w:r>
    </w:p>
    <w:p w14:paraId="7FF464FE" w14:textId="51E1A0FC" w:rsidR="00130D53" w:rsidRDefault="00130D53">
      <w:pPr>
        <w:pStyle w:val="ListParagraph"/>
        <w:numPr>
          <w:ilvl w:val="0"/>
          <w:numId w:val="1"/>
        </w:numPr>
        <w:spacing w:after="60" w:line="259" w:lineRule="auto"/>
        <w:ind w:left="360" w:hanging="360"/>
        <w:jc w:val="both"/>
        <w:rPr>
          <w:rFonts w:ascii="Times New Roman" w:hAnsi="Times New Roman" w:cs="Times New Roman"/>
          <w:sz w:val="22"/>
          <w:szCs w:val="22"/>
        </w:rPr>
      </w:pPr>
      <w:r>
        <w:rPr>
          <w:rFonts w:ascii="Times New Roman" w:hAnsi="Times New Roman" w:cs="Times New Roman"/>
          <w:sz w:val="22"/>
          <w:szCs w:val="22"/>
        </w:rPr>
        <w:lastRenderedPageBreak/>
        <w:t>Ability and willingness to travel to Somalia will be a plus.</w:t>
      </w:r>
    </w:p>
    <w:p w14:paraId="2F39404E" w14:textId="77777777" w:rsidR="003F092E" w:rsidRDefault="003F092E">
      <w:pPr>
        <w:spacing w:line="276" w:lineRule="auto"/>
        <w:jc w:val="both"/>
      </w:pPr>
    </w:p>
    <w:p w14:paraId="4264C6A7" w14:textId="721F8D62" w:rsidR="003F092E" w:rsidRDefault="00D0593C">
      <w:pPr>
        <w:spacing w:line="276" w:lineRule="auto"/>
        <w:jc w:val="both"/>
        <w:rPr>
          <w:rFonts w:ascii="Times New Roman" w:hAnsi="Times New Roman" w:cs="Times New Roman"/>
          <w:b/>
          <w:color w:val="0A0A0A"/>
          <w:sz w:val="22"/>
          <w:szCs w:val="22"/>
        </w:rPr>
      </w:pPr>
      <w:r>
        <w:rPr>
          <w:rFonts w:ascii="Times New Roman" w:hAnsi="Times New Roman" w:cs="Times New Roman"/>
          <w:b/>
          <w:color w:val="0A0A0A"/>
          <w:sz w:val="22"/>
          <w:szCs w:val="22"/>
        </w:rPr>
        <w:t xml:space="preserve">REPORTING AND </w:t>
      </w:r>
      <w:r w:rsidR="00C477F5">
        <w:rPr>
          <w:rFonts w:ascii="Times New Roman" w:hAnsi="Times New Roman" w:cs="Times New Roman"/>
          <w:b/>
          <w:color w:val="0A0A0A"/>
          <w:sz w:val="22"/>
          <w:szCs w:val="22"/>
        </w:rPr>
        <w:t>CONTRACT TYPE</w:t>
      </w:r>
    </w:p>
    <w:p w14:paraId="2F25D819" w14:textId="77777777" w:rsidR="003F092E" w:rsidRDefault="003F092E">
      <w:pPr>
        <w:jc w:val="both"/>
        <w:rPr>
          <w:rFonts w:ascii="Times New Roman" w:hAnsi="Times New Roman" w:cs="Times New Roman"/>
          <w:sz w:val="22"/>
          <w:szCs w:val="22"/>
        </w:rPr>
      </w:pPr>
    </w:p>
    <w:p w14:paraId="59E01258" w14:textId="1B7B6D30" w:rsidR="003F092E" w:rsidRDefault="00C477F5" w:rsidP="00D0593C">
      <w:pPr>
        <w:jc w:val="both"/>
        <w:rPr>
          <w:rFonts w:ascii="Times New Roman" w:hAnsi="Times New Roman" w:cs="Times New Roman"/>
          <w:sz w:val="22"/>
          <w:szCs w:val="22"/>
        </w:rPr>
      </w:pPr>
      <w:r>
        <w:rPr>
          <w:rFonts w:ascii="Times New Roman" w:hAnsi="Times New Roman" w:cs="Times New Roman"/>
          <w:sz w:val="22"/>
          <w:szCs w:val="22"/>
        </w:rPr>
        <w:t>The Consultant will report to the Ministry of Finance of Somalia.</w:t>
      </w:r>
      <w:r w:rsidR="00054D5C">
        <w:rPr>
          <w:rFonts w:ascii="Times New Roman" w:hAnsi="Times New Roman" w:cs="Times New Roman"/>
          <w:sz w:val="22"/>
          <w:szCs w:val="22"/>
        </w:rPr>
        <w:t xml:space="preserve"> The consultant will report to a focal point at the MoF. MoF will facilitate access to key stakeholders</w:t>
      </w:r>
      <w:r w:rsidR="00C929C4">
        <w:rPr>
          <w:rFonts w:ascii="Times New Roman" w:hAnsi="Times New Roman" w:cs="Times New Roman"/>
          <w:sz w:val="22"/>
          <w:szCs w:val="22"/>
        </w:rPr>
        <w:t xml:space="preserve"> (including Government agencies)</w:t>
      </w:r>
      <w:r w:rsidR="00054D5C">
        <w:rPr>
          <w:rFonts w:ascii="Times New Roman" w:hAnsi="Times New Roman" w:cs="Times New Roman"/>
          <w:sz w:val="22"/>
          <w:szCs w:val="22"/>
        </w:rPr>
        <w:t xml:space="preserve"> and relevant existing legal, regulatory and institutional frameworks in Somalia.</w:t>
      </w:r>
      <w:r>
        <w:rPr>
          <w:rFonts w:ascii="Times New Roman" w:hAnsi="Times New Roman" w:cs="Times New Roman"/>
          <w:sz w:val="22"/>
          <w:szCs w:val="22"/>
        </w:rPr>
        <w:t xml:space="preserve"> </w:t>
      </w:r>
      <w:r w:rsidR="00D0593C">
        <w:rPr>
          <w:rFonts w:ascii="Times New Roman" w:hAnsi="Times New Roman" w:cs="Times New Roman"/>
          <w:sz w:val="22"/>
          <w:szCs w:val="22"/>
        </w:rPr>
        <w:t>The</w:t>
      </w:r>
      <w:r w:rsidR="00D0593C" w:rsidRPr="00D0593C">
        <w:rPr>
          <w:rFonts w:ascii="Times New Roman" w:hAnsi="Times New Roman" w:cs="Times New Roman"/>
          <w:sz w:val="22"/>
          <w:szCs w:val="22"/>
        </w:rPr>
        <w:t xml:space="preserve"> </w:t>
      </w:r>
      <w:r w:rsidR="00D0593C">
        <w:rPr>
          <w:rFonts w:ascii="Times New Roman" w:hAnsi="Times New Roman" w:cs="Times New Roman"/>
          <w:sz w:val="22"/>
          <w:szCs w:val="22"/>
        </w:rPr>
        <w:t xml:space="preserve">Consultancy will be through a </w:t>
      </w:r>
      <w:r w:rsidR="00D0593C" w:rsidRPr="00D0593C">
        <w:rPr>
          <w:rFonts w:ascii="Times New Roman" w:hAnsi="Times New Roman" w:cs="Times New Roman"/>
          <w:sz w:val="22"/>
          <w:szCs w:val="22"/>
        </w:rPr>
        <w:t>lump-sum contract</w:t>
      </w:r>
      <w:r w:rsidR="00D0593C">
        <w:rPr>
          <w:rFonts w:ascii="Times New Roman" w:hAnsi="Times New Roman" w:cs="Times New Roman"/>
          <w:sz w:val="22"/>
          <w:szCs w:val="22"/>
        </w:rPr>
        <w:t xml:space="preserve"> with scope o</w:t>
      </w:r>
      <w:r w:rsidR="00D0593C" w:rsidRPr="00D0593C">
        <w:rPr>
          <w:rFonts w:ascii="Times New Roman" w:hAnsi="Times New Roman" w:cs="Times New Roman"/>
          <w:sz w:val="22"/>
          <w:szCs w:val="22"/>
        </w:rPr>
        <w:t xml:space="preserve">f services </w:t>
      </w:r>
      <w:r w:rsidR="00D0593C">
        <w:rPr>
          <w:rFonts w:ascii="Times New Roman" w:hAnsi="Times New Roman" w:cs="Times New Roman"/>
          <w:sz w:val="22"/>
          <w:szCs w:val="22"/>
        </w:rPr>
        <w:t xml:space="preserve">to be completed for a </w:t>
      </w:r>
      <w:r w:rsidR="00D0593C" w:rsidRPr="00D0593C">
        <w:rPr>
          <w:rFonts w:ascii="Times New Roman" w:hAnsi="Times New Roman" w:cs="Times New Roman"/>
          <w:sz w:val="22"/>
          <w:szCs w:val="22"/>
        </w:rPr>
        <w:t xml:space="preserve">fixed contract amount. Payment percentages or amounts </w:t>
      </w:r>
      <w:r w:rsidR="00D0593C">
        <w:rPr>
          <w:rFonts w:ascii="Times New Roman" w:hAnsi="Times New Roman" w:cs="Times New Roman"/>
          <w:sz w:val="22"/>
          <w:szCs w:val="22"/>
        </w:rPr>
        <w:t>will</w:t>
      </w:r>
      <w:r w:rsidR="00D0593C" w:rsidRPr="00D0593C">
        <w:rPr>
          <w:rFonts w:ascii="Times New Roman" w:hAnsi="Times New Roman" w:cs="Times New Roman"/>
          <w:sz w:val="22"/>
          <w:szCs w:val="22"/>
        </w:rPr>
        <w:t xml:space="preserve"> be linked to the completion of</w:t>
      </w:r>
      <w:r w:rsidR="00D0593C">
        <w:rPr>
          <w:rFonts w:ascii="Times New Roman" w:hAnsi="Times New Roman" w:cs="Times New Roman"/>
          <w:sz w:val="22"/>
          <w:szCs w:val="22"/>
        </w:rPr>
        <w:t xml:space="preserve"> </w:t>
      </w:r>
      <w:r w:rsidR="00D0593C" w:rsidRPr="00D0593C">
        <w:rPr>
          <w:rFonts w:ascii="Times New Roman" w:hAnsi="Times New Roman" w:cs="Times New Roman"/>
          <w:sz w:val="22"/>
          <w:szCs w:val="22"/>
        </w:rPr>
        <w:t xml:space="preserve">contractual milestones or determined as a percentage of the value of the work to be </w:t>
      </w:r>
      <w:r w:rsidR="00D0593C">
        <w:rPr>
          <w:rFonts w:ascii="Times New Roman" w:hAnsi="Times New Roman" w:cs="Times New Roman"/>
          <w:sz w:val="22"/>
          <w:szCs w:val="22"/>
        </w:rPr>
        <w:t>completed and</w:t>
      </w:r>
      <w:r w:rsidR="00D0593C" w:rsidRPr="00D0593C">
        <w:rPr>
          <w:rFonts w:ascii="Times New Roman" w:hAnsi="Times New Roman" w:cs="Times New Roman"/>
          <w:sz w:val="22"/>
          <w:szCs w:val="22"/>
        </w:rPr>
        <w:t xml:space="preserve"> </w:t>
      </w:r>
      <w:r w:rsidR="00D0593C">
        <w:rPr>
          <w:rFonts w:ascii="Times New Roman" w:hAnsi="Times New Roman" w:cs="Times New Roman"/>
          <w:sz w:val="22"/>
          <w:szCs w:val="22"/>
        </w:rPr>
        <w:t>upon presentation of the receipt for any expenses incurred for eligible expenditures relating to the assignment.</w:t>
      </w:r>
    </w:p>
    <w:p w14:paraId="1F6A16D3" w14:textId="77777777" w:rsidR="00AC459D" w:rsidRDefault="00AC459D" w:rsidP="00D0593C">
      <w:pPr>
        <w:jc w:val="both"/>
        <w:rPr>
          <w:rFonts w:ascii="Times New Roman" w:hAnsi="Times New Roman" w:cs="Times New Roman"/>
          <w:sz w:val="22"/>
          <w:szCs w:val="22"/>
        </w:rPr>
      </w:pPr>
    </w:p>
    <w:p w14:paraId="53B9BA61" w14:textId="5E6E9664" w:rsidR="00AC459D" w:rsidRDefault="00AC459D" w:rsidP="00D0593C">
      <w:pPr>
        <w:jc w:val="both"/>
        <w:rPr>
          <w:rFonts w:ascii="Times New Roman" w:hAnsi="Times New Roman" w:cs="Times New Roman"/>
          <w:b/>
          <w:color w:val="0A0A0A"/>
          <w:sz w:val="22"/>
          <w:szCs w:val="22"/>
        </w:rPr>
      </w:pPr>
      <w:r>
        <w:rPr>
          <w:rFonts w:ascii="Times New Roman" w:hAnsi="Times New Roman" w:cs="Times New Roman"/>
          <w:b/>
          <w:color w:val="0A0A0A"/>
          <w:sz w:val="22"/>
          <w:szCs w:val="22"/>
        </w:rPr>
        <w:t>DELIVERABLES AND PAYMENT SCH</w:t>
      </w:r>
      <w:r w:rsidR="005F326E">
        <w:rPr>
          <w:rFonts w:ascii="Times New Roman" w:hAnsi="Times New Roman" w:cs="Times New Roman"/>
          <w:b/>
          <w:color w:val="0A0A0A"/>
          <w:sz w:val="22"/>
          <w:szCs w:val="22"/>
        </w:rPr>
        <w:t>EDULE</w:t>
      </w:r>
    </w:p>
    <w:p w14:paraId="7A76C2EB" w14:textId="77777777" w:rsidR="005F326E" w:rsidRDefault="005F326E" w:rsidP="00D0593C">
      <w:pPr>
        <w:jc w:val="both"/>
        <w:rPr>
          <w:rFonts w:ascii="Times New Roman" w:hAnsi="Times New Roman" w:cs="Times New Roman"/>
          <w:b/>
          <w:color w:val="0A0A0A"/>
          <w:sz w:val="22"/>
          <w:szCs w:val="22"/>
        </w:rPr>
      </w:pPr>
    </w:p>
    <w:tbl>
      <w:tblPr>
        <w:tblStyle w:val="TableGrid"/>
        <w:tblW w:w="0" w:type="auto"/>
        <w:tblLook w:val="04A0" w:firstRow="1" w:lastRow="0" w:firstColumn="1" w:lastColumn="0" w:noHBand="0" w:noVBand="1"/>
      </w:tblPr>
      <w:tblGrid>
        <w:gridCol w:w="326"/>
        <w:gridCol w:w="7276"/>
        <w:gridCol w:w="1208"/>
      </w:tblGrid>
      <w:tr w:rsidR="00092023" w14:paraId="398D6798" w14:textId="77777777" w:rsidTr="004052C8">
        <w:tc>
          <w:tcPr>
            <w:tcW w:w="7601" w:type="dxa"/>
            <w:gridSpan w:val="2"/>
          </w:tcPr>
          <w:p w14:paraId="7F2DF1CF" w14:textId="330B312E" w:rsidR="00092023" w:rsidRPr="008D3465" w:rsidRDefault="00092023" w:rsidP="00D0593C">
            <w:pPr>
              <w:jc w:val="both"/>
              <w:rPr>
                <w:rFonts w:ascii="Times New Roman" w:hAnsi="Times New Roman" w:cs="Times New Roman"/>
                <w:b/>
                <w:bCs/>
                <w:sz w:val="22"/>
                <w:szCs w:val="22"/>
              </w:rPr>
            </w:pPr>
            <w:r w:rsidRPr="008D3465">
              <w:rPr>
                <w:rFonts w:ascii="Times New Roman" w:hAnsi="Times New Roman" w:cs="Times New Roman"/>
                <w:b/>
                <w:bCs/>
                <w:sz w:val="22"/>
                <w:szCs w:val="22"/>
              </w:rPr>
              <w:t>Deliverables</w:t>
            </w:r>
          </w:p>
        </w:tc>
        <w:tc>
          <w:tcPr>
            <w:tcW w:w="1209" w:type="dxa"/>
          </w:tcPr>
          <w:p w14:paraId="20A28D89" w14:textId="5914A975" w:rsidR="00092023" w:rsidRPr="008D3465" w:rsidRDefault="00092023" w:rsidP="00D0593C">
            <w:pPr>
              <w:jc w:val="both"/>
              <w:rPr>
                <w:rFonts w:ascii="Times New Roman" w:hAnsi="Times New Roman" w:cs="Times New Roman"/>
                <w:b/>
                <w:bCs/>
                <w:sz w:val="22"/>
                <w:szCs w:val="22"/>
              </w:rPr>
            </w:pPr>
            <w:r w:rsidRPr="008D3465">
              <w:rPr>
                <w:rFonts w:ascii="Times New Roman" w:hAnsi="Times New Roman" w:cs="Times New Roman"/>
                <w:b/>
                <w:bCs/>
                <w:sz w:val="22"/>
                <w:szCs w:val="22"/>
              </w:rPr>
              <w:t>Payment</w:t>
            </w:r>
          </w:p>
        </w:tc>
      </w:tr>
      <w:tr w:rsidR="00092023" w14:paraId="66B1CB94" w14:textId="77777777" w:rsidTr="008D3465">
        <w:tc>
          <w:tcPr>
            <w:tcW w:w="279" w:type="dxa"/>
          </w:tcPr>
          <w:p w14:paraId="5C4880E8" w14:textId="47BA7B33" w:rsidR="00092023" w:rsidRDefault="00092023" w:rsidP="00D0593C">
            <w:pPr>
              <w:jc w:val="both"/>
              <w:rPr>
                <w:rFonts w:ascii="Times New Roman" w:hAnsi="Times New Roman" w:cs="Times New Roman"/>
                <w:sz w:val="22"/>
                <w:szCs w:val="22"/>
              </w:rPr>
            </w:pPr>
            <w:r>
              <w:rPr>
                <w:rFonts w:ascii="Times New Roman" w:hAnsi="Times New Roman" w:cs="Times New Roman"/>
                <w:sz w:val="22"/>
                <w:szCs w:val="22"/>
              </w:rPr>
              <w:t>1</w:t>
            </w:r>
          </w:p>
        </w:tc>
        <w:tc>
          <w:tcPr>
            <w:tcW w:w="7322" w:type="dxa"/>
          </w:tcPr>
          <w:p w14:paraId="00CC0638" w14:textId="44B7DA8F" w:rsidR="00092023" w:rsidRDefault="00092023" w:rsidP="00D0593C">
            <w:pPr>
              <w:jc w:val="both"/>
              <w:rPr>
                <w:rFonts w:ascii="Times New Roman" w:hAnsi="Times New Roman" w:cs="Times New Roman"/>
                <w:sz w:val="22"/>
                <w:szCs w:val="22"/>
              </w:rPr>
            </w:pPr>
            <w:r>
              <w:rPr>
                <w:rFonts w:ascii="Times New Roman" w:hAnsi="Times New Roman" w:cs="Times New Roman"/>
                <w:sz w:val="22"/>
                <w:szCs w:val="22"/>
              </w:rPr>
              <w:t>Inception report</w:t>
            </w:r>
          </w:p>
        </w:tc>
        <w:tc>
          <w:tcPr>
            <w:tcW w:w="1209" w:type="dxa"/>
          </w:tcPr>
          <w:p w14:paraId="2E173736" w14:textId="495E2640" w:rsidR="00092023" w:rsidRDefault="00092023" w:rsidP="00D0593C">
            <w:pPr>
              <w:jc w:val="both"/>
              <w:rPr>
                <w:rFonts w:ascii="Times New Roman" w:hAnsi="Times New Roman" w:cs="Times New Roman"/>
                <w:sz w:val="22"/>
                <w:szCs w:val="22"/>
              </w:rPr>
            </w:pPr>
            <w:r>
              <w:rPr>
                <w:rFonts w:ascii="Times New Roman" w:hAnsi="Times New Roman" w:cs="Times New Roman"/>
                <w:sz w:val="22"/>
                <w:szCs w:val="22"/>
              </w:rPr>
              <w:t>10%</w:t>
            </w:r>
          </w:p>
        </w:tc>
      </w:tr>
      <w:tr w:rsidR="00092023" w14:paraId="29EA16AD" w14:textId="77777777" w:rsidTr="008D3465">
        <w:tc>
          <w:tcPr>
            <w:tcW w:w="279" w:type="dxa"/>
          </w:tcPr>
          <w:p w14:paraId="087D9A18" w14:textId="5E3B4FF2" w:rsidR="00092023" w:rsidRDefault="00092023" w:rsidP="00D0593C">
            <w:pPr>
              <w:jc w:val="both"/>
              <w:rPr>
                <w:rFonts w:ascii="Times New Roman" w:hAnsi="Times New Roman" w:cs="Times New Roman"/>
                <w:sz w:val="22"/>
                <w:szCs w:val="22"/>
              </w:rPr>
            </w:pPr>
            <w:r>
              <w:rPr>
                <w:rFonts w:ascii="Times New Roman" w:hAnsi="Times New Roman" w:cs="Times New Roman"/>
                <w:sz w:val="22"/>
                <w:szCs w:val="22"/>
              </w:rPr>
              <w:t>2</w:t>
            </w:r>
          </w:p>
        </w:tc>
        <w:tc>
          <w:tcPr>
            <w:tcW w:w="7322" w:type="dxa"/>
          </w:tcPr>
          <w:p w14:paraId="4DDBCD46" w14:textId="64861FC4" w:rsidR="00092023" w:rsidRDefault="00092023" w:rsidP="00D0593C">
            <w:pPr>
              <w:jc w:val="both"/>
              <w:rPr>
                <w:rFonts w:ascii="Times New Roman" w:hAnsi="Times New Roman" w:cs="Times New Roman"/>
                <w:sz w:val="22"/>
                <w:szCs w:val="22"/>
              </w:rPr>
            </w:pPr>
            <w:r>
              <w:rPr>
                <w:rFonts w:ascii="Times New Roman" w:hAnsi="Times New Roman" w:cs="Times New Roman"/>
                <w:sz w:val="22"/>
                <w:szCs w:val="22"/>
              </w:rPr>
              <w:t xml:space="preserve">Options paper </w:t>
            </w:r>
          </w:p>
        </w:tc>
        <w:tc>
          <w:tcPr>
            <w:tcW w:w="1209" w:type="dxa"/>
          </w:tcPr>
          <w:p w14:paraId="045ECE79" w14:textId="262697E4" w:rsidR="00092023" w:rsidRDefault="003127FE" w:rsidP="00D0593C">
            <w:pPr>
              <w:jc w:val="both"/>
              <w:rPr>
                <w:rFonts w:ascii="Times New Roman" w:hAnsi="Times New Roman" w:cs="Times New Roman"/>
                <w:sz w:val="22"/>
                <w:szCs w:val="22"/>
              </w:rPr>
            </w:pPr>
            <w:r>
              <w:rPr>
                <w:rFonts w:ascii="Times New Roman" w:hAnsi="Times New Roman" w:cs="Times New Roman"/>
                <w:sz w:val="22"/>
                <w:szCs w:val="22"/>
              </w:rPr>
              <w:t>3</w:t>
            </w:r>
            <w:r w:rsidR="00092023">
              <w:rPr>
                <w:rFonts w:ascii="Times New Roman" w:hAnsi="Times New Roman" w:cs="Times New Roman"/>
                <w:sz w:val="22"/>
                <w:szCs w:val="22"/>
              </w:rPr>
              <w:t>0%</w:t>
            </w:r>
          </w:p>
        </w:tc>
      </w:tr>
      <w:tr w:rsidR="00092023" w14:paraId="48346B47" w14:textId="77777777" w:rsidTr="008D3465">
        <w:tc>
          <w:tcPr>
            <w:tcW w:w="279" w:type="dxa"/>
          </w:tcPr>
          <w:p w14:paraId="246FEEAB" w14:textId="70ECB95A" w:rsidR="00092023" w:rsidRDefault="00092023" w:rsidP="00D0593C">
            <w:pPr>
              <w:jc w:val="both"/>
              <w:rPr>
                <w:rFonts w:ascii="Times New Roman" w:hAnsi="Times New Roman" w:cs="Times New Roman"/>
                <w:sz w:val="22"/>
                <w:szCs w:val="22"/>
              </w:rPr>
            </w:pPr>
            <w:r>
              <w:rPr>
                <w:rFonts w:ascii="Times New Roman" w:hAnsi="Times New Roman" w:cs="Times New Roman"/>
                <w:sz w:val="22"/>
                <w:szCs w:val="22"/>
              </w:rPr>
              <w:t>3</w:t>
            </w:r>
          </w:p>
        </w:tc>
        <w:tc>
          <w:tcPr>
            <w:tcW w:w="7322" w:type="dxa"/>
          </w:tcPr>
          <w:p w14:paraId="1474B016" w14:textId="558D2FCF" w:rsidR="00092023" w:rsidRDefault="00092023" w:rsidP="00D0593C">
            <w:pPr>
              <w:jc w:val="both"/>
              <w:rPr>
                <w:rFonts w:ascii="Times New Roman" w:hAnsi="Times New Roman" w:cs="Times New Roman"/>
                <w:sz w:val="22"/>
                <w:szCs w:val="22"/>
              </w:rPr>
            </w:pPr>
            <w:r>
              <w:rPr>
                <w:rFonts w:ascii="Times New Roman" w:hAnsi="Times New Roman" w:cs="Times New Roman"/>
                <w:sz w:val="22"/>
                <w:szCs w:val="22"/>
              </w:rPr>
              <w:t>Action plan on institutionalization and capitalization</w:t>
            </w:r>
          </w:p>
        </w:tc>
        <w:tc>
          <w:tcPr>
            <w:tcW w:w="1209" w:type="dxa"/>
          </w:tcPr>
          <w:p w14:paraId="5B93E92C" w14:textId="663AB4B6" w:rsidR="00092023" w:rsidRDefault="00092023" w:rsidP="00D0593C">
            <w:pPr>
              <w:jc w:val="both"/>
              <w:rPr>
                <w:rFonts w:ascii="Times New Roman" w:hAnsi="Times New Roman" w:cs="Times New Roman"/>
                <w:sz w:val="22"/>
                <w:szCs w:val="22"/>
              </w:rPr>
            </w:pPr>
            <w:r>
              <w:rPr>
                <w:rFonts w:ascii="Times New Roman" w:hAnsi="Times New Roman" w:cs="Times New Roman"/>
                <w:sz w:val="22"/>
                <w:szCs w:val="22"/>
              </w:rPr>
              <w:t>30%</w:t>
            </w:r>
          </w:p>
        </w:tc>
      </w:tr>
      <w:tr w:rsidR="00092023" w14:paraId="578BBDC4" w14:textId="77777777" w:rsidTr="008D3465">
        <w:tc>
          <w:tcPr>
            <w:tcW w:w="279" w:type="dxa"/>
          </w:tcPr>
          <w:p w14:paraId="7C805BA4" w14:textId="410E8D65" w:rsidR="00092023" w:rsidRDefault="00092023" w:rsidP="002A329E">
            <w:pPr>
              <w:jc w:val="both"/>
              <w:rPr>
                <w:rFonts w:ascii="Times New Roman" w:hAnsi="Times New Roman" w:cs="Times New Roman"/>
                <w:sz w:val="22"/>
                <w:szCs w:val="22"/>
              </w:rPr>
            </w:pPr>
            <w:r>
              <w:rPr>
                <w:rFonts w:ascii="Times New Roman" w:hAnsi="Times New Roman" w:cs="Times New Roman"/>
                <w:sz w:val="22"/>
                <w:szCs w:val="22"/>
              </w:rPr>
              <w:t>4</w:t>
            </w:r>
          </w:p>
        </w:tc>
        <w:tc>
          <w:tcPr>
            <w:tcW w:w="7322" w:type="dxa"/>
          </w:tcPr>
          <w:p w14:paraId="219F45B7" w14:textId="7523E11F" w:rsidR="00092023" w:rsidRDefault="00092023" w:rsidP="002A329E">
            <w:pPr>
              <w:jc w:val="both"/>
              <w:rPr>
                <w:rFonts w:ascii="Times New Roman" w:hAnsi="Times New Roman" w:cs="Times New Roman"/>
                <w:sz w:val="22"/>
                <w:szCs w:val="22"/>
              </w:rPr>
            </w:pPr>
            <w:r>
              <w:rPr>
                <w:rFonts w:ascii="Times New Roman" w:hAnsi="Times New Roman" w:cs="Times New Roman"/>
                <w:sz w:val="22"/>
                <w:szCs w:val="22"/>
              </w:rPr>
              <w:t>Recommendations paper on governance arrangements</w:t>
            </w:r>
          </w:p>
        </w:tc>
        <w:tc>
          <w:tcPr>
            <w:tcW w:w="1209" w:type="dxa"/>
          </w:tcPr>
          <w:p w14:paraId="76423C58" w14:textId="319DDD92" w:rsidR="00092023" w:rsidRDefault="003127FE" w:rsidP="00D0593C">
            <w:pPr>
              <w:jc w:val="both"/>
              <w:rPr>
                <w:rFonts w:ascii="Times New Roman" w:hAnsi="Times New Roman" w:cs="Times New Roman"/>
                <w:sz w:val="22"/>
                <w:szCs w:val="22"/>
              </w:rPr>
            </w:pPr>
            <w:r>
              <w:rPr>
                <w:rFonts w:ascii="Times New Roman" w:hAnsi="Times New Roman" w:cs="Times New Roman"/>
                <w:sz w:val="22"/>
                <w:szCs w:val="22"/>
              </w:rPr>
              <w:t>2</w:t>
            </w:r>
            <w:r w:rsidR="00092023">
              <w:rPr>
                <w:rFonts w:ascii="Times New Roman" w:hAnsi="Times New Roman" w:cs="Times New Roman"/>
                <w:sz w:val="22"/>
                <w:szCs w:val="22"/>
              </w:rPr>
              <w:t>0%</w:t>
            </w:r>
          </w:p>
        </w:tc>
      </w:tr>
      <w:tr w:rsidR="00092023" w14:paraId="72B25ED4" w14:textId="77777777" w:rsidTr="008D3465">
        <w:tc>
          <w:tcPr>
            <w:tcW w:w="279" w:type="dxa"/>
          </w:tcPr>
          <w:p w14:paraId="76151354" w14:textId="3B6C82F6" w:rsidR="00092023" w:rsidRDefault="00092023" w:rsidP="00D0593C">
            <w:pPr>
              <w:jc w:val="both"/>
              <w:rPr>
                <w:rFonts w:ascii="Times New Roman" w:hAnsi="Times New Roman" w:cs="Times New Roman"/>
                <w:sz w:val="22"/>
                <w:szCs w:val="22"/>
              </w:rPr>
            </w:pPr>
            <w:r>
              <w:rPr>
                <w:rFonts w:ascii="Times New Roman" w:hAnsi="Times New Roman" w:cs="Times New Roman"/>
                <w:sz w:val="22"/>
                <w:szCs w:val="22"/>
              </w:rPr>
              <w:t>5</w:t>
            </w:r>
          </w:p>
        </w:tc>
        <w:tc>
          <w:tcPr>
            <w:tcW w:w="7322" w:type="dxa"/>
          </w:tcPr>
          <w:p w14:paraId="770C417F" w14:textId="6348ACAB" w:rsidR="00092023" w:rsidRDefault="00092023" w:rsidP="00D0593C">
            <w:pPr>
              <w:jc w:val="both"/>
              <w:rPr>
                <w:rFonts w:ascii="Times New Roman" w:hAnsi="Times New Roman" w:cs="Times New Roman"/>
                <w:sz w:val="22"/>
                <w:szCs w:val="22"/>
              </w:rPr>
            </w:pPr>
            <w:r>
              <w:rPr>
                <w:rFonts w:ascii="Times New Roman" w:hAnsi="Times New Roman" w:cs="Times New Roman"/>
                <w:sz w:val="22"/>
                <w:szCs w:val="22"/>
              </w:rPr>
              <w:t>Final report</w:t>
            </w:r>
          </w:p>
        </w:tc>
        <w:tc>
          <w:tcPr>
            <w:tcW w:w="1209" w:type="dxa"/>
          </w:tcPr>
          <w:p w14:paraId="2C3989FE" w14:textId="17D60F3B" w:rsidR="00092023" w:rsidRDefault="00092023" w:rsidP="00D0593C">
            <w:pPr>
              <w:jc w:val="both"/>
              <w:rPr>
                <w:rFonts w:ascii="Times New Roman" w:hAnsi="Times New Roman" w:cs="Times New Roman"/>
                <w:sz w:val="22"/>
                <w:szCs w:val="22"/>
              </w:rPr>
            </w:pPr>
            <w:r>
              <w:rPr>
                <w:rFonts w:ascii="Times New Roman" w:hAnsi="Times New Roman" w:cs="Times New Roman"/>
                <w:sz w:val="22"/>
                <w:szCs w:val="22"/>
              </w:rPr>
              <w:t>10%</w:t>
            </w:r>
          </w:p>
        </w:tc>
      </w:tr>
    </w:tbl>
    <w:p w14:paraId="3762D97A" w14:textId="77777777" w:rsidR="005F326E" w:rsidRDefault="005F326E" w:rsidP="00D0593C">
      <w:pPr>
        <w:jc w:val="both"/>
        <w:rPr>
          <w:rFonts w:ascii="Times New Roman" w:hAnsi="Times New Roman" w:cs="Times New Roman"/>
          <w:sz w:val="22"/>
          <w:szCs w:val="22"/>
        </w:rPr>
      </w:pPr>
    </w:p>
    <w:sectPr w:rsidR="005F326E">
      <w:headerReference w:type="default" r:id="rId10"/>
      <w:pgSz w:w="12240" w:h="15840"/>
      <w:pgMar w:top="1440" w:right="162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7679A4" w14:textId="77777777" w:rsidR="00702FE0" w:rsidRDefault="00702FE0">
      <w:r>
        <w:separator/>
      </w:r>
    </w:p>
  </w:endnote>
  <w:endnote w:type="continuationSeparator" w:id="0">
    <w:p w14:paraId="17B5AC96" w14:textId="77777777" w:rsidR="00702FE0" w:rsidRDefault="0070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EDAC76" w14:textId="77777777" w:rsidR="00702FE0" w:rsidRDefault="00702FE0">
      <w:r>
        <w:separator/>
      </w:r>
    </w:p>
  </w:footnote>
  <w:footnote w:type="continuationSeparator" w:id="0">
    <w:p w14:paraId="0C25FEF2" w14:textId="77777777" w:rsidR="00702FE0" w:rsidRDefault="00702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4F29B" w14:textId="69189583" w:rsidR="003F092E" w:rsidRDefault="003F092E">
    <w:pPr>
      <w:pStyle w:val="Header"/>
      <w:jc w:val="right"/>
      <w:rPr>
        <w:rFonts w:asciiTheme="majorHAnsi" w:hAnsiTheme="majorHAnsi" w:cstheme="majorHAns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B4CDD"/>
    <w:multiLevelType w:val="multilevel"/>
    <w:tmpl w:val="022B4C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4860159"/>
    <w:multiLevelType w:val="hybridMultilevel"/>
    <w:tmpl w:val="B422F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55EF8"/>
    <w:multiLevelType w:val="multilevel"/>
    <w:tmpl w:val="32355EF8"/>
    <w:lvl w:ilvl="0">
      <w:start w:val="1"/>
      <w:numFmt w:val="bullet"/>
      <w:lvlText w:val=""/>
      <w:lvlJc w:val="left"/>
      <w:pPr>
        <w:ind w:left="1080" w:hanging="72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0280606"/>
    <w:multiLevelType w:val="hybridMultilevel"/>
    <w:tmpl w:val="6226C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A76C82"/>
    <w:multiLevelType w:val="hybridMultilevel"/>
    <w:tmpl w:val="DF1A8A6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20104879">
    <w:abstractNumId w:val="2"/>
  </w:num>
  <w:num w:numId="2" w16cid:durableId="1146825166">
    <w:abstractNumId w:val="0"/>
  </w:num>
  <w:num w:numId="3" w16cid:durableId="1193305130">
    <w:abstractNumId w:val="3"/>
  </w:num>
  <w:num w:numId="4" w16cid:durableId="2064408088">
    <w:abstractNumId w:val="1"/>
  </w:num>
  <w:num w:numId="5" w16cid:durableId="2472706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EDC"/>
    <w:rsid w:val="000109C2"/>
    <w:rsid w:val="00011D4D"/>
    <w:rsid w:val="00011FE8"/>
    <w:rsid w:val="00014BB5"/>
    <w:rsid w:val="000474C5"/>
    <w:rsid w:val="00054D5C"/>
    <w:rsid w:val="00060562"/>
    <w:rsid w:val="00074A5D"/>
    <w:rsid w:val="0007732A"/>
    <w:rsid w:val="000775A5"/>
    <w:rsid w:val="0008365B"/>
    <w:rsid w:val="00087E2B"/>
    <w:rsid w:val="000903CE"/>
    <w:rsid w:val="00090BC5"/>
    <w:rsid w:val="00092023"/>
    <w:rsid w:val="00092F18"/>
    <w:rsid w:val="00093403"/>
    <w:rsid w:val="000A23AE"/>
    <w:rsid w:val="000A4EDC"/>
    <w:rsid w:val="000A4F39"/>
    <w:rsid w:val="000A5E72"/>
    <w:rsid w:val="000B6B12"/>
    <w:rsid w:val="000C3DF3"/>
    <w:rsid w:val="000D109A"/>
    <w:rsid w:val="000E2E05"/>
    <w:rsid w:val="000E59DC"/>
    <w:rsid w:val="000E68C9"/>
    <w:rsid w:val="000E71CA"/>
    <w:rsid w:val="000E7FA7"/>
    <w:rsid w:val="000F1C07"/>
    <w:rsid w:val="000F38A3"/>
    <w:rsid w:val="000F7275"/>
    <w:rsid w:val="00100E65"/>
    <w:rsid w:val="00107B4F"/>
    <w:rsid w:val="0011537A"/>
    <w:rsid w:val="00117D5B"/>
    <w:rsid w:val="00123819"/>
    <w:rsid w:val="00124E5D"/>
    <w:rsid w:val="00130D53"/>
    <w:rsid w:val="001334E3"/>
    <w:rsid w:val="00137BAB"/>
    <w:rsid w:val="00140CB9"/>
    <w:rsid w:val="00153B81"/>
    <w:rsid w:val="00154DEA"/>
    <w:rsid w:val="001570D6"/>
    <w:rsid w:val="00161D63"/>
    <w:rsid w:val="0016393B"/>
    <w:rsid w:val="001658AC"/>
    <w:rsid w:val="0016711C"/>
    <w:rsid w:val="00175F2A"/>
    <w:rsid w:val="0018075F"/>
    <w:rsid w:val="001942F1"/>
    <w:rsid w:val="00194EC9"/>
    <w:rsid w:val="00196045"/>
    <w:rsid w:val="001963EF"/>
    <w:rsid w:val="001A6FF6"/>
    <w:rsid w:val="001B09DD"/>
    <w:rsid w:val="001B157A"/>
    <w:rsid w:val="001B4924"/>
    <w:rsid w:val="001B4B58"/>
    <w:rsid w:val="001C11FF"/>
    <w:rsid w:val="001D3960"/>
    <w:rsid w:val="001D7186"/>
    <w:rsid w:val="001E06FD"/>
    <w:rsid w:val="001E4A55"/>
    <w:rsid w:val="001E5C33"/>
    <w:rsid w:val="001E6334"/>
    <w:rsid w:val="001F354C"/>
    <w:rsid w:val="001F3576"/>
    <w:rsid w:val="001F496A"/>
    <w:rsid w:val="001F743C"/>
    <w:rsid w:val="001F7477"/>
    <w:rsid w:val="00205161"/>
    <w:rsid w:val="00205812"/>
    <w:rsid w:val="00206357"/>
    <w:rsid w:val="002166A0"/>
    <w:rsid w:val="00222B69"/>
    <w:rsid w:val="002235ED"/>
    <w:rsid w:val="0023156E"/>
    <w:rsid w:val="00233316"/>
    <w:rsid w:val="00244F5E"/>
    <w:rsid w:val="002478DF"/>
    <w:rsid w:val="00250912"/>
    <w:rsid w:val="0025506C"/>
    <w:rsid w:val="00260911"/>
    <w:rsid w:val="00260D6A"/>
    <w:rsid w:val="002657A0"/>
    <w:rsid w:val="002716FE"/>
    <w:rsid w:val="00273848"/>
    <w:rsid w:val="00274848"/>
    <w:rsid w:val="00274D9D"/>
    <w:rsid w:val="00275616"/>
    <w:rsid w:val="0027614C"/>
    <w:rsid w:val="00281E41"/>
    <w:rsid w:val="00283B1B"/>
    <w:rsid w:val="00283BEC"/>
    <w:rsid w:val="00284554"/>
    <w:rsid w:val="00287CEE"/>
    <w:rsid w:val="0029189A"/>
    <w:rsid w:val="00294028"/>
    <w:rsid w:val="00297A64"/>
    <w:rsid w:val="002A2557"/>
    <w:rsid w:val="002A329E"/>
    <w:rsid w:val="002A43EB"/>
    <w:rsid w:val="002B2316"/>
    <w:rsid w:val="002B6C0D"/>
    <w:rsid w:val="002C1ED4"/>
    <w:rsid w:val="002C79DF"/>
    <w:rsid w:val="002E0559"/>
    <w:rsid w:val="002E22B8"/>
    <w:rsid w:val="002E4CDB"/>
    <w:rsid w:val="002E6427"/>
    <w:rsid w:val="002F2AD2"/>
    <w:rsid w:val="002F5851"/>
    <w:rsid w:val="002F7405"/>
    <w:rsid w:val="002F762F"/>
    <w:rsid w:val="00302F60"/>
    <w:rsid w:val="003056B8"/>
    <w:rsid w:val="00310548"/>
    <w:rsid w:val="003127FE"/>
    <w:rsid w:val="00316EA9"/>
    <w:rsid w:val="00320FBD"/>
    <w:rsid w:val="00322F06"/>
    <w:rsid w:val="003274AF"/>
    <w:rsid w:val="00341DC6"/>
    <w:rsid w:val="00343F5D"/>
    <w:rsid w:val="003442C1"/>
    <w:rsid w:val="00345D9E"/>
    <w:rsid w:val="0035216A"/>
    <w:rsid w:val="00357CDF"/>
    <w:rsid w:val="00374AC4"/>
    <w:rsid w:val="00380DBA"/>
    <w:rsid w:val="003810F5"/>
    <w:rsid w:val="00381364"/>
    <w:rsid w:val="00384FE4"/>
    <w:rsid w:val="0038689C"/>
    <w:rsid w:val="0039496F"/>
    <w:rsid w:val="003A53CB"/>
    <w:rsid w:val="003B1CF2"/>
    <w:rsid w:val="003B2C75"/>
    <w:rsid w:val="003B53FD"/>
    <w:rsid w:val="003C3276"/>
    <w:rsid w:val="003C436D"/>
    <w:rsid w:val="003C61FA"/>
    <w:rsid w:val="003C6E84"/>
    <w:rsid w:val="003D018A"/>
    <w:rsid w:val="003D0919"/>
    <w:rsid w:val="003D7384"/>
    <w:rsid w:val="003D76B0"/>
    <w:rsid w:val="003E1547"/>
    <w:rsid w:val="003F092E"/>
    <w:rsid w:val="003F77FD"/>
    <w:rsid w:val="004007C6"/>
    <w:rsid w:val="00403833"/>
    <w:rsid w:val="0040699B"/>
    <w:rsid w:val="004121D3"/>
    <w:rsid w:val="004130DA"/>
    <w:rsid w:val="0041689B"/>
    <w:rsid w:val="00421C37"/>
    <w:rsid w:val="00430412"/>
    <w:rsid w:val="0043380E"/>
    <w:rsid w:val="004368CE"/>
    <w:rsid w:val="00441E1A"/>
    <w:rsid w:val="004432AA"/>
    <w:rsid w:val="004511E9"/>
    <w:rsid w:val="00452E43"/>
    <w:rsid w:val="00453F57"/>
    <w:rsid w:val="0046397B"/>
    <w:rsid w:val="00464608"/>
    <w:rsid w:val="004675EE"/>
    <w:rsid w:val="00472737"/>
    <w:rsid w:val="00473F12"/>
    <w:rsid w:val="004816FB"/>
    <w:rsid w:val="00486AE4"/>
    <w:rsid w:val="0048755C"/>
    <w:rsid w:val="00493D85"/>
    <w:rsid w:val="00494173"/>
    <w:rsid w:val="0049466F"/>
    <w:rsid w:val="00495C1B"/>
    <w:rsid w:val="004A07F3"/>
    <w:rsid w:val="004A2D94"/>
    <w:rsid w:val="004B7C50"/>
    <w:rsid w:val="004C07CD"/>
    <w:rsid w:val="004C160F"/>
    <w:rsid w:val="004C4E30"/>
    <w:rsid w:val="004C6868"/>
    <w:rsid w:val="004C6B63"/>
    <w:rsid w:val="004D51FA"/>
    <w:rsid w:val="004D7756"/>
    <w:rsid w:val="004E3383"/>
    <w:rsid w:val="004E51F4"/>
    <w:rsid w:val="004E53C5"/>
    <w:rsid w:val="004F1CAF"/>
    <w:rsid w:val="004F3405"/>
    <w:rsid w:val="004F6950"/>
    <w:rsid w:val="004F7D6E"/>
    <w:rsid w:val="005002F6"/>
    <w:rsid w:val="005023CF"/>
    <w:rsid w:val="0050606E"/>
    <w:rsid w:val="00513942"/>
    <w:rsid w:val="00518A00"/>
    <w:rsid w:val="005200AD"/>
    <w:rsid w:val="00521797"/>
    <w:rsid w:val="00526D83"/>
    <w:rsid w:val="005431A7"/>
    <w:rsid w:val="00543EB0"/>
    <w:rsid w:val="00544538"/>
    <w:rsid w:val="00550B41"/>
    <w:rsid w:val="005525BC"/>
    <w:rsid w:val="00554031"/>
    <w:rsid w:val="00560B1B"/>
    <w:rsid w:val="00566F4C"/>
    <w:rsid w:val="00573796"/>
    <w:rsid w:val="00573CD0"/>
    <w:rsid w:val="005834E2"/>
    <w:rsid w:val="00584D79"/>
    <w:rsid w:val="00586954"/>
    <w:rsid w:val="005947F8"/>
    <w:rsid w:val="005A0BAB"/>
    <w:rsid w:val="005A58C9"/>
    <w:rsid w:val="005C1A7E"/>
    <w:rsid w:val="005D090B"/>
    <w:rsid w:val="005D742E"/>
    <w:rsid w:val="005E6EDD"/>
    <w:rsid w:val="005F02DC"/>
    <w:rsid w:val="005F326E"/>
    <w:rsid w:val="005F3EAA"/>
    <w:rsid w:val="005F5170"/>
    <w:rsid w:val="005F727F"/>
    <w:rsid w:val="00600EA0"/>
    <w:rsid w:val="00600F73"/>
    <w:rsid w:val="006011CB"/>
    <w:rsid w:val="00601D56"/>
    <w:rsid w:val="00604ABC"/>
    <w:rsid w:val="0061069F"/>
    <w:rsid w:val="00613E4D"/>
    <w:rsid w:val="00615374"/>
    <w:rsid w:val="00616603"/>
    <w:rsid w:val="00622AB4"/>
    <w:rsid w:val="00634D12"/>
    <w:rsid w:val="0063567D"/>
    <w:rsid w:val="0064267B"/>
    <w:rsid w:val="00642CDF"/>
    <w:rsid w:val="00645BCC"/>
    <w:rsid w:val="00647DDD"/>
    <w:rsid w:val="00651D9D"/>
    <w:rsid w:val="00654EA0"/>
    <w:rsid w:val="0065664A"/>
    <w:rsid w:val="00660D87"/>
    <w:rsid w:val="00664E31"/>
    <w:rsid w:val="00670577"/>
    <w:rsid w:val="00671DBC"/>
    <w:rsid w:val="0067276D"/>
    <w:rsid w:val="00680DFB"/>
    <w:rsid w:val="0068288F"/>
    <w:rsid w:val="006A46A8"/>
    <w:rsid w:val="006A5F2C"/>
    <w:rsid w:val="006A79F5"/>
    <w:rsid w:val="006A7BDE"/>
    <w:rsid w:val="006B0017"/>
    <w:rsid w:val="006B0A65"/>
    <w:rsid w:val="006B180D"/>
    <w:rsid w:val="006B5794"/>
    <w:rsid w:val="006B6CA0"/>
    <w:rsid w:val="006C1D8F"/>
    <w:rsid w:val="006C4841"/>
    <w:rsid w:val="006D1D60"/>
    <w:rsid w:val="006D29E5"/>
    <w:rsid w:val="006D4731"/>
    <w:rsid w:val="006E2A7C"/>
    <w:rsid w:val="006E3C15"/>
    <w:rsid w:val="006E4A01"/>
    <w:rsid w:val="006F0A7D"/>
    <w:rsid w:val="006F206F"/>
    <w:rsid w:val="006F2BE8"/>
    <w:rsid w:val="006F2F62"/>
    <w:rsid w:val="006F7ECF"/>
    <w:rsid w:val="00701630"/>
    <w:rsid w:val="00701711"/>
    <w:rsid w:val="00702FE0"/>
    <w:rsid w:val="00703416"/>
    <w:rsid w:val="0070741F"/>
    <w:rsid w:val="007100FD"/>
    <w:rsid w:val="00723C22"/>
    <w:rsid w:val="007264F9"/>
    <w:rsid w:val="00736C7B"/>
    <w:rsid w:val="0073759C"/>
    <w:rsid w:val="00737753"/>
    <w:rsid w:val="00751566"/>
    <w:rsid w:val="00754C0C"/>
    <w:rsid w:val="007553FA"/>
    <w:rsid w:val="00761FEF"/>
    <w:rsid w:val="007647BE"/>
    <w:rsid w:val="00765953"/>
    <w:rsid w:val="007702E4"/>
    <w:rsid w:val="00782C78"/>
    <w:rsid w:val="007846D1"/>
    <w:rsid w:val="007846EA"/>
    <w:rsid w:val="0079227E"/>
    <w:rsid w:val="007929FF"/>
    <w:rsid w:val="007A1889"/>
    <w:rsid w:val="007A45F0"/>
    <w:rsid w:val="007B00BA"/>
    <w:rsid w:val="007C1604"/>
    <w:rsid w:val="007C2A63"/>
    <w:rsid w:val="007D1D9D"/>
    <w:rsid w:val="007D3E03"/>
    <w:rsid w:val="007D4179"/>
    <w:rsid w:val="007D67AC"/>
    <w:rsid w:val="007D77EC"/>
    <w:rsid w:val="007E1A3D"/>
    <w:rsid w:val="007E260D"/>
    <w:rsid w:val="007E4541"/>
    <w:rsid w:val="007F02A0"/>
    <w:rsid w:val="007F5F28"/>
    <w:rsid w:val="008021AB"/>
    <w:rsid w:val="008028F4"/>
    <w:rsid w:val="0080523E"/>
    <w:rsid w:val="00805941"/>
    <w:rsid w:val="00806837"/>
    <w:rsid w:val="00810C0A"/>
    <w:rsid w:val="0081341C"/>
    <w:rsid w:val="00817789"/>
    <w:rsid w:val="00821457"/>
    <w:rsid w:val="00826ED6"/>
    <w:rsid w:val="008377A2"/>
    <w:rsid w:val="00837DDB"/>
    <w:rsid w:val="00844E53"/>
    <w:rsid w:val="008506EE"/>
    <w:rsid w:val="008530D3"/>
    <w:rsid w:val="00854618"/>
    <w:rsid w:val="008614AF"/>
    <w:rsid w:val="00863E89"/>
    <w:rsid w:val="00865B6A"/>
    <w:rsid w:val="00866B5C"/>
    <w:rsid w:val="00871513"/>
    <w:rsid w:val="00872964"/>
    <w:rsid w:val="00877707"/>
    <w:rsid w:val="00897332"/>
    <w:rsid w:val="00897E51"/>
    <w:rsid w:val="008A2693"/>
    <w:rsid w:val="008A79FE"/>
    <w:rsid w:val="008D3116"/>
    <w:rsid w:val="008D3465"/>
    <w:rsid w:val="008E023F"/>
    <w:rsid w:val="008E50E7"/>
    <w:rsid w:val="008E6E93"/>
    <w:rsid w:val="008F4592"/>
    <w:rsid w:val="0090074F"/>
    <w:rsid w:val="00903691"/>
    <w:rsid w:val="009052BE"/>
    <w:rsid w:val="009054B9"/>
    <w:rsid w:val="00915693"/>
    <w:rsid w:val="00915A2E"/>
    <w:rsid w:val="00917495"/>
    <w:rsid w:val="00917B63"/>
    <w:rsid w:val="0092329D"/>
    <w:rsid w:val="00923887"/>
    <w:rsid w:val="009240EF"/>
    <w:rsid w:val="00925842"/>
    <w:rsid w:val="00927ED5"/>
    <w:rsid w:val="009304FB"/>
    <w:rsid w:val="00932A68"/>
    <w:rsid w:val="00933C0E"/>
    <w:rsid w:val="00937977"/>
    <w:rsid w:val="00937CEA"/>
    <w:rsid w:val="00937F55"/>
    <w:rsid w:val="00945840"/>
    <w:rsid w:val="00953203"/>
    <w:rsid w:val="009561EA"/>
    <w:rsid w:val="00956C1A"/>
    <w:rsid w:val="00960EA9"/>
    <w:rsid w:val="0096171D"/>
    <w:rsid w:val="00961B7D"/>
    <w:rsid w:val="009631AA"/>
    <w:rsid w:val="009660C0"/>
    <w:rsid w:val="0097089C"/>
    <w:rsid w:val="0097182C"/>
    <w:rsid w:val="0097190B"/>
    <w:rsid w:val="00981C9D"/>
    <w:rsid w:val="00984D6A"/>
    <w:rsid w:val="00984E1D"/>
    <w:rsid w:val="009946EF"/>
    <w:rsid w:val="00997655"/>
    <w:rsid w:val="009A051F"/>
    <w:rsid w:val="009A3F3D"/>
    <w:rsid w:val="009A40B5"/>
    <w:rsid w:val="009A5AEE"/>
    <w:rsid w:val="009B2701"/>
    <w:rsid w:val="009B5536"/>
    <w:rsid w:val="009C04C5"/>
    <w:rsid w:val="009C18C8"/>
    <w:rsid w:val="009C1F6F"/>
    <w:rsid w:val="009C42B1"/>
    <w:rsid w:val="009C6D05"/>
    <w:rsid w:val="009D2ED7"/>
    <w:rsid w:val="009D6D33"/>
    <w:rsid w:val="009E03C3"/>
    <w:rsid w:val="009E412F"/>
    <w:rsid w:val="009E653B"/>
    <w:rsid w:val="009F6A04"/>
    <w:rsid w:val="00A02E4A"/>
    <w:rsid w:val="00A10A75"/>
    <w:rsid w:val="00A21006"/>
    <w:rsid w:val="00A21D94"/>
    <w:rsid w:val="00A220E1"/>
    <w:rsid w:val="00A236DC"/>
    <w:rsid w:val="00A26DA7"/>
    <w:rsid w:val="00A40B55"/>
    <w:rsid w:val="00A44F3D"/>
    <w:rsid w:val="00A45592"/>
    <w:rsid w:val="00A607B9"/>
    <w:rsid w:val="00A63D4D"/>
    <w:rsid w:val="00A66B76"/>
    <w:rsid w:val="00A67A21"/>
    <w:rsid w:val="00A7413D"/>
    <w:rsid w:val="00A75110"/>
    <w:rsid w:val="00A779AA"/>
    <w:rsid w:val="00A9532D"/>
    <w:rsid w:val="00AA4F03"/>
    <w:rsid w:val="00AA569B"/>
    <w:rsid w:val="00AB0E73"/>
    <w:rsid w:val="00AB6582"/>
    <w:rsid w:val="00AC1679"/>
    <w:rsid w:val="00AC459D"/>
    <w:rsid w:val="00AD24EA"/>
    <w:rsid w:val="00AD56D2"/>
    <w:rsid w:val="00AE1039"/>
    <w:rsid w:val="00AF1837"/>
    <w:rsid w:val="00AF287E"/>
    <w:rsid w:val="00B016A4"/>
    <w:rsid w:val="00B02CFC"/>
    <w:rsid w:val="00B104D6"/>
    <w:rsid w:val="00B129AC"/>
    <w:rsid w:val="00B131DE"/>
    <w:rsid w:val="00B203BF"/>
    <w:rsid w:val="00B31968"/>
    <w:rsid w:val="00B34F9C"/>
    <w:rsid w:val="00B414E4"/>
    <w:rsid w:val="00B4605A"/>
    <w:rsid w:val="00B46A73"/>
    <w:rsid w:val="00B471D3"/>
    <w:rsid w:val="00B5322F"/>
    <w:rsid w:val="00B639D5"/>
    <w:rsid w:val="00B7561D"/>
    <w:rsid w:val="00B83E10"/>
    <w:rsid w:val="00B900E9"/>
    <w:rsid w:val="00B90551"/>
    <w:rsid w:val="00B92A67"/>
    <w:rsid w:val="00B92F51"/>
    <w:rsid w:val="00B93619"/>
    <w:rsid w:val="00B93CC7"/>
    <w:rsid w:val="00B96BF1"/>
    <w:rsid w:val="00B974ED"/>
    <w:rsid w:val="00BB1539"/>
    <w:rsid w:val="00BB2F08"/>
    <w:rsid w:val="00BB4EB3"/>
    <w:rsid w:val="00BB6126"/>
    <w:rsid w:val="00BB6DEF"/>
    <w:rsid w:val="00BB6EA1"/>
    <w:rsid w:val="00BC1BE7"/>
    <w:rsid w:val="00BC1E60"/>
    <w:rsid w:val="00BD4202"/>
    <w:rsid w:val="00BD537F"/>
    <w:rsid w:val="00BE01B5"/>
    <w:rsid w:val="00BE2108"/>
    <w:rsid w:val="00BE428C"/>
    <w:rsid w:val="00C00D96"/>
    <w:rsid w:val="00C0204D"/>
    <w:rsid w:val="00C05059"/>
    <w:rsid w:val="00C10647"/>
    <w:rsid w:val="00C115F6"/>
    <w:rsid w:val="00C141B0"/>
    <w:rsid w:val="00C16AC6"/>
    <w:rsid w:val="00C17501"/>
    <w:rsid w:val="00C1791C"/>
    <w:rsid w:val="00C25B60"/>
    <w:rsid w:val="00C30F4C"/>
    <w:rsid w:val="00C36519"/>
    <w:rsid w:val="00C4181A"/>
    <w:rsid w:val="00C41DA2"/>
    <w:rsid w:val="00C41F38"/>
    <w:rsid w:val="00C447AA"/>
    <w:rsid w:val="00C45F1C"/>
    <w:rsid w:val="00C477F5"/>
    <w:rsid w:val="00C50188"/>
    <w:rsid w:val="00C53A7E"/>
    <w:rsid w:val="00C53F06"/>
    <w:rsid w:val="00C63EB1"/>
    <w:rsid w:val="00C646FA"/>
    <w:rsid w:val="00C64EB3"/>
    <w:rsid w:val="00C66967"/>
    <w:rsid w:val="00C7356C"/>
    <w:rsid w:val="00C85671"/>
    <w:rsid w:val="00C86D48"/>
    <w:rsid w:val="00C90297"/>
    <w:rsid w:val="00C929C4"/>
    <w:rsid w:val="00C96AA5"/>
    <w:rsid w:val="00CA2AF4"/>
    <w:rsid w:val="00CA7CAE"/>
    <w:rsid w:val="00CB4463"/>
    <w:rsid w:val="00CB4D34"/>
    <w:rsid w:val="00CC1DC0"/>
    <w:rsid w:val="00CC2687"/>
    <w:rsid w:val="00CC270A"/>
    <w:rsid w:val="00CC46F2"/>
    <w:rsid w:val="00CC69CF"/>
    <w:rsid w:val="00CC6F3E"/>
    <w:rsid w:val="00CD7EC7"/>
    <w:rsid w:val="00CE20D9"/>
    <w:rsid w:val="00CE6143"/>
    <w:rsid w:val="00CE73A2"/>
    <w:rsid w:val="00D02483"/>
    <w:rsid w:val="00D03DFA"/>
    <w:rsid w:val="00D04942"/>
    <w:rsid w:val="00D0593C"/>
    <w:rsid w:val="00D0697C"/>
    <w:rsid w:val="00D10084"/>
    <w:rsid w:val="00D17FA7"/>
    <w:rsid w:val="00D218EA"/>
    <w:rsid w:val="00D22076"/>
    <w:rsid w:val="00D25DF5"/>
    <w:rsid w:val="00D27648"/>
    <w:rsid w:val="00D3623A"/>
    <w:rsid w:val="00D369FB"/>
    <w:rsid w:val="00D40615"/>
    <w:rsid w:val="00D45A45"/>
    <w:rsid w:val="00D54185"/>
    <w:rsid w:val="00D63D3C"/>
    <w:rsid w:val="00D642A6"/>
    <w:rsid w:val="00D645D5"/>
    <w:rsid w:val="00D65975"/>
    <w:rsid w:val="00D70A23"/>
    <w:rsid w:val="00D70E37"/>
    <w:rsid w:val="00D71C46"/>
    <w:rsid w:val="00D77AF0"/>
    <w:rsid w:val="00D93540"/>
    <w:rsid w:val="00DA6822"/>
    <w:rsid w:val="00DB38C1"/>
    <w:rsid w:val="00DB61AF"/>
    <w:rsid w:val="00DB753F"/>
    <w:rsid w:val="00DC1083"/>
    <w:rsid w:val="00DC2929"/>
    <w:rsid w:val="00DC2B7F"/>
    <w:rsid w:val="00DD0A29"/>
    <w:rsid w:val="00DE32AF"/>
    <w:rsid w:val="00E001E8"/>
    <w:rsid w:val="00E06A81"/>
    <w:rsid w:val="00E130DE"/>
    <w:rsid w:val="00E14222"/>
    <w:rsid w:val="00E23B13"/>
    <w:rsid w:val="00E266E6"/>
    <w:rsid w:val="00E3054E"/>
    <w:rsid w:val="00E35A33"/>
    <w:rsid w:val="00E36714"/>
    <w:rsid w:val="00E41510"/>
    <w:rsid w:val="00E50FD7"/>
    <w:rsid w:val="00E54B45"/>
    <w:rsid w:val="00E560BD"/>
    <w:rsid w:val="00E61B1C"/>
    <w:rsid w:val="00E64E1C"/>
    <w:rsid w:val="00E70BD2"/>
    <w:rsid w:val="00E743EA"/>
    <w:rsid w:val="00E77AFC"/>
    <w:rsid w:val="00E8503B"/>
    <w:rsid w:val="00E947E1"/>
    <w:rsid w:val="00E95234"/>
    <w:rsid w:val="00EA37DA"/>
    <w:rsid w:val="00EB2311"/>
    <w:rsid w:val="00EB2E95"/>
    <w:rsid w:val="00EB46AB"/>
    <w:rsid w:val="00EB72CB"/>
    <w:rsid w:val="00EC0163"/>
    <w:rsid w:val="00EC204B"/>
    <w:rsid w:val="00ED3051"/>
    <w:rsid w:val="00EF149F"/>
    <w:rsid w:val="00F05434"/>
    <w:rsid w:val="00F11C8F"/>
    <w:rsid w:val="00F13333"/>
    <w:rsid w:val="00F1348B"/>
    <w:rsid w:val="00F231BC"/>
    <w:rsid w:val="00F33EC5"/>
    <w:rsid w:val="00F36232"/>
    <w:rsid w:val="00F37970"/>
    <w:rsid w:val="00F41A06"/>
    <w:rsid w:val="00F503D7"/>
    <w:rsid w:val="00F527B2"/>
    <w:rsid w:val="00F5626C"/>
    <w:rsid w:val="00F6360B"/>
    <w:rsid w:val="00F6448B"/>
    <w:rsid w:val="00F70B35"/>
    <w:rsid w:val="00F720AE"/>
    <w:rsid w:val="00F73E82"/>
    <w:rsid w:val="00F7596A"/>
    <w:rsid w:val="00F76BD6"/>
    <w:rsid w:val="00F77142"/>
    <w:rsid w:val="00F8012D"/>
    <w:rsid w:val="00F921CA"/>
    <w:rsid w:val="00F9523B"/>
    <w:rsid w:val="00F97E88"/>
    <w:rsid w:val="00F97F5A"/>
    <w:rsid w:val="00FA3662"/>
    <w:rsid w:val="00FB10D9"/>
    <w:rsid w:val="00FB1954"/>
    <w:rsid w:val="00FB33FB"/>
    <w:rsid w:val="00FC1E68"/>
    <w:rsid w:val="00FC5179"/>
    <w:rsid w:val="00FD102C"/>
    <w:rsid w:val="00FD1104"/>
    <w:rsid w:val="00FD2B22"/>
    <w:rsid w:val="00FD441E"/>
    <w:rsid w:val="00FD5931"/>
    <w:rsid w:val="00FD618D"/>
    <w:rsid w:val="00FD6C7A"/>
    <w:rsid w:val="00FD758B"/>
    <w:rsid w:val="00FD7B76"/>
    <w:rsid w:val="00FE0B02"/>
    <w:rsid w:val="00FE73E2"/>
    <w:rsid w:val="00FF230D"/>
    <w:rsid w:val="00FF3DF8"/>
    <w:rsid w:val="02616FAE"/>
    <w:rsid w:val="045E0029"/>
    <w:rsid w:val="053EB0C5"/>
    <w:rsid w:val="05F7A833"/>
    <w:rsid w:val="08DE70F8"/>
    <w:rsid w:val="0A7A4159"/>
    <w:rsid w:val="0DB1E21B"/>
    <w:rsid w:val="0F8495C2"/>
    <w:rsid w:val="101B5795"/>
    <w:rsid w:val="1029F90B"/>
    <w:rsid w:val="10924D6C"/>
    <w:rsid w:val="10FD8EF9"/>
    <w:rsid w:val="1233AD73"/>
    <w:rsid w:val="128C5EB3"/>
    <w:rsid w:val="12DAD628"/>
    <w:rsid w:val="139CA435"/>
    <w:rsid w:val="13CF7DD4"/>
    <w:rsid w:val="14BAE1D2"/>
    <w:rsid w:val="156B4E35"/>
    <w:rsid w:val="1615B983"/>
    <w:rsid w:val="17071E96"/>
    <w:rsid w:val="1C49F06D"/>
    <w:rsid w:val="1E612DCC"/>
    <w:rsid w:val="1F86895D"/>
    <w:rsid w:val="205E7316"/>
    <w:rsid w:val="211AF91A"/>
    <w:rsid w:val="235DDECF"/>
    <w:rsid w:val="23E51E93"/>
    <w:rsid w:val="275EBF8E"/>
    <w:rsid w:val="27F2255A"/>
    <w:rsid w:val="2BE2F73D"/>
    <w:rsid w:val="2D3AAECD"/>
    <w:rsid w:val="30D22DF2"/>
    <w:rsid w:val="30D78672"/>
    <w:rsid w:val="31AE34A6"/>
    <w:rsid w:val="321BE091"/>
    <w:rsid w:val="3229DC0A"/>
    <w:rsid w:val="32C5C80A"/>
    <w:rsid w:val="3459DA81"/>
    <w:rsid w:val="37917B43"/>
    <w:rsid w:val="379C3788"/>
    <w:rsid w:val="41404B0F"/>
    <w:rsid w:val="42DC1B70"/>
    <w:rsid w:val="4477EBD1"/>
    <w:rsid w:val="44F52BEF"/>
    <w:rsid w:val="4563D202"/>
    <w:rsid w:val="4654990C"/>
    <w:rsid w:val="46FFA263"/>
    <w:rsid w:val="47F06FFE"/>
    <w:rsid w:val="4ACE04F8"/>
    <w:rsid w:val="4AE72D55"/>
    <w:rsid w:val="4C02629C"/>
    <w:rsid w:val="4C53C73D"/>
    <w:rsid w:val="4DE1A5AD"/>
    <w:rsid w:val="4E2BC394"/>
    <w:rsid w:val="4E58E534"/>
    <w:rsid w:val="4F09FCDA"/>
    <w:rsid w:val="4F544CA6"/>
    <w:rsid w:val="518513D9"/>
    <w:rsid w:val="51D5DE98"/>
    <w:rsid w:val="5710B765"/>
    <w:rsid w:val="5713A826"/>
    <w:rsid w:val="58BF402B"/>
    <w:rsid w:val="5BD729A2"/>
    <w:rsid w:val="5CC3D1E6"/>
    <w:rsid w:val="5E28BF01"/>
    <w:rsid w:val="5F035847"/>
    <w:rsid w:val="60307427"/>
    <w:rsid w:val="63EDB79F"/>
    <w:rsid w:val="668C9669"/>
    <w:rsid w:val="6940D3EA"/>
    <w:rsid w:val="69A74D1C"/>
    <w:rsid w:val="69ADE495"/>
    <w:rsid w:val="6A3916C1"/>
    <w:rsid w:val="6B431D7D"/>
    <w:rsid w:val="6BD4E722"/>
    <w:rsid w:val="6CDEEDDE"/>
    <w:rsid w:val="6E7ABE3F"/>
    <w:rsid w:val="6E97A84E"/>
    <w:rsid w:val="6ED2FE6A"/>
    <w:rsid w:val="6FB78A41"/>
    <w:rsid w:val="70940473"/>
    <w:rsid w:val="716621DC"/>
    <w:rsid w:val="722D48C0"/>
    <w:rsid w:val="7232A140"/>
    <w:rsid w:val="72BD3E60"/>
    <w:rsid w:val="72F1F200"/>
    <w:rsid w:val="7306372E"/>
    <w:rsid w:val="7313EB8C"/>
    <w:rsid w:val="78D45642"/>
    <w:rsid w:val="78E89B70"/>
    <w:rsid w:val="7A1F187F"/>
    <w:rsid w:val="7A39AFC2"/>
    <w:rsid w:val="7D6AC8C6"/>
    <w:rsid w:val="7EF3C94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CE79D7"/>
  <w15:docId w15:val="{8BD21860-A855-49C0-BAB8-281D1D64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BodyText">
    <w:name w:val="Body Text"/>
    <w:basedOn w:val="Normal"/>
    <w:link w:val="BodyTextChar"/>
    <w:uiPriority w:val="1"/>
    <w:qFormat/>
    <w:pPr>
      <w:widowControl w:val="0"/>
      <w:autoSpaceDE w:val="0"/>
      <w:autoSpaceDN w:val="0"/>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ndnoteReference">
    <w:name w:val="endnote reference"/>
    <w:basedOn w:val="DefaultParagraphFont"/>
    <w:uiPriority w:val="99"/>
    <w:semiHidden/>
    <w:unhideWhenUsed/>
    <w:qFormat/>
    <w:rPr>
      <w:vertAlign w:val="superscript"/>
    </w:rPr>
  </w:style>
  <w:style w:type="paragraph" w:styleId="EndnoteText">
    <w:name w:val="endnote text"/>
    <w:basedOn w:val="Normal"/>
    <w:link w:val="EndnoteTextChar"/>
    <w:uiPriority w:val="99"/>
    <w:unhideWhenUsed/>
    <w:qFormat/>
    <w:rPr>
      <w:rFonts w:ascii="Times New Roman" w:eastAsiaTheme="minorHAnsi" w:hAnsi="Times New Roman" w:cs="Times New Roman"/>
    </w:rPr>
  </w:style>
  <w:style w:type="paragraph" w:styleId="Footer">
    <w:name w:val="footer"/>
    <w:basedOn w:val="Normal"/>
    <w:link w:val="FooterChar"/>
    <w:uiPriority w:val="99"/>
    <w:unhideWhenUsed/>
    <w:pPr>
      <w:tabs>
        <w:tab w:val="center" w:pos="4680"/>
        <w:tab w:val="right" w:pos="9360"/>
      </w:tabs>
    </w:p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pPr>
      <w:tabs>
        <w:tab w:val="center" w:pos="4680"/>
        <w:tab w:val="right" w:pos="9360"/>
      </w:tabs>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Pr>
      <w:b/>
      <w:bCs/>
    </w:rPr>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pPr>
      <w:ind w:left="720"/>
      <w:contextualSpacing/>
    </w:p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Revision1">
    <w:name w:val="Revision1"/>
    <w:hidden/>
    <w:uiPriority w:val="99"/>
    <w:semiHidden/>
    <w:rPr>
      <w:sz w:val="24"/>
      <w:szCs w:val="24"/>
    </w:rPr>
  </w:style>
  <w:style w:type="character" w:customStyle="1" w:styleId="CommentTextChar">
    <w:name w:val="Comment Text Char"/>
    <w:basedOn w:val="DefaultParagraphFont"/>
    <w:link w:val="CommentText"/>
    <w:uiPriority w:val="99"/>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ListParagraphChar">
    <w:name w:val="List Paragraph Char"/>
    <w:link w:val="ListParagraph"/>
    <w:uiPriority w:val="34"/>
    <w:qFormat/>
  </w:style>
  <w:style w:type="paragraph" w:customStyle="1" w:styleId="FootnoteText1">
    <w:name w:val="Footnote Text1"/>
    <w:basedOn w:val="FootnoteText"/>
    <w:next w:val="FootnoteText"/>
    <w:qFormat/>
    <w:rPr>
      <w:rFonts w:eastAsiaTheme="minorHAnsi"/>
      <w:iCs/>
      <w:sz w:val="18"/>
      <w:szCs w:val="18"/>
    </w:rPr>
  </w:style>
  <w:style w:type="character" w:customStyle="1" w:styleId="EndnoteTextChar">
    <w:name w:val="Endnote Text Char"/>
    <w:basedOn w:val="DefaultParagraphFont"/>
    <w:link w:val="EndnoteText"/>
    <w:uiPriority w:val="99"/>
    <w:qFormat/>
    <w:rPr>
      <w:rFonts w:ascii="Times New Roman" w:eastAsiaTheme="minorHAnsi" w:hAnsi="Times New Roman" w:cs="Times New Roman"/>
    </w:rPr>
  </w:style>
  <w:style w:type="character" w:customStyle="1" w:styleId="FootnoteTextChar">
    <w:name w:val="Footnote Text Char"/>
    <w:basedOn w:val="DefaultParagraphFont"/>
    <w:link w:val="FootnoteText"/>
    <w:uiPriority w:val="99"/>
    <w:semiHidden/>
    <w:qFormat/>
    <w:rPr>
      <w:sz w:val="20"/>
      <w:szCs w:val="20"/>
    </w:rPr>
  </w:style>
  <w:style w:type="paragraph" w:customStyle="1" w:styleId="Default">
    <w:name w:val="Default"/>
    <w:qFormat/>
    <w:pPr>
      <w:autoSpaceDE w:val="0"/>
      <w:autoSpaceDN w:val="0"/>
      <w:adjustRightInd w:val="0"/>
    </w:pPr>
    <w:rPr>
      <w:rFonts w:ascii="Calibri" w:hAnsi="Calibri" w:cs="Calibri"/>
      <w:color w:val="000000"/>
      <w:sz w:val="24"/>
      <w:szCs w:val="24"/>
    </w:rPr>
  </w:style>
  <w:style w:type="character" w:customStyle="1" w:styleId="Mention1">
    <w:name w:val="Mention1"/>
    <w:basedOn w:val="DefaultParagraphFont"/>
    <w:uiPriority w:val="99"/>
    <w:unhideWhenUsed/>
    <w:rPr>
      <w:color w:val="2B579A"/>
      <w:shd w:val="clear" w:color="auto" w:fill="E1DFDD"/>
    </w:rPr>
  </w:style>
  <w:style w:type="character" w:customStyle="1" w:styleId="BodyTextChar">
    <w:name w:val="Body Text Char"/>
    <w:basedOn w:val="DefaultParagraphFont"/>
    <w:link w:val="BodyText"/>
    <w:uiPriority w:val="1"/>
    <w:rPr>
      <w:rFonts w:ascii="Times New Roman" w:eastAsia="Times New Roman" w:hAnsi="Times New Roman" w:cs="Times New Roman"/>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Revision">
    <w:name w:val="Revision"/>
    <w:hidden/>
    <w:uiPriority w:val="99"/>
    <w:unhideWhenUsed/>
    <w:rsid w:val="002478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6" ma:contentTypeDescription="Create a new document." ma:contentTypeScope="" ma:versionID="0bc21ed0b2020c3afaff3066be92a17d">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c07fef68e287cdc89b47e0ea84d70e7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5BA258-937E-4BE4-BE37-7222441230FD}">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2.xml><?xml version="1.0" encoding="utf-8"?>
<ds:datastoreItem xmlns:ds="http://schemas.openxmlformats.org/officeDocument/2006/customXml" ds:itemID="{FB077175-0145-4A96-989D-094325C17523}">
  <ds:schemaRefs>
    <ds:schemaRef ds:uri="http://schemas.microsoft.com/sharepoint/v3/contenttype/forms"/>
  </ds:schemaRefs>
</ds:datastoreItem>
</file>

<file path=customXml/itemProps3.xml><?xml version="1.0" encoding="utf-8"?>
<ds:datastoreItem xmlns:ds="http://schemas.openxmlformats.org/officeDocument/2006/customXml" ds:itemID="{F5F939B4-011B-44F8-B4FB-B9CF523E5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Walden University</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Andres Cartwright Ramon" &lt;jcartwrightramon@worldbank.org&gt;</dc:creator>
  <cp:lastModifiedBy>Ahmed Burale</cp:lastModifiedBy>
  <cp:revision>2</cp:revision>
  <dcterms:created xsi:type="dcterms:W3CDTF">2024-04-06T09:06:00Z</dcterms:created>
  <dcterms:modified xsi:type="dcterms:W3CDTF">2024-04-06T09:06:00Z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y fmtid="{D5CDD505-2E9C-101B-9397-08002B2CF9AE}" pid="3" name="KSOProductBuildVer">
    <vt:lpwstr>1033-12.2.0.13431</vt:lpwstr>
  </property>
  <property fmtid="{D5CDD505-2E9C-101B-9397-08002B2CF9AE}" pid="4" name="ICV">
    <vt:lpwstr>107938B423F445D6A3C0D0B084C85192_13</vt:lpwstr>
  </property>
</Properties>
</file>